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EBA16" w14:textId="77777777" w:rsidR="002D7FBC" w:rsidRPr="001611A6" w:rsidRDefault="002D7FBC" w:rsidP="002D7FBC">
      <w:pPr>
        <w:shd w:val="clear" w:color="auto" w:fill="C6D9F1"/>
        <w:ind w:right="-428"/>
        <w:jc w:val="center"/>
        <w:rPr>
          <w:b/>
          <w:bCs/>
          <w:i/>
          <w:iCs/>
          <w:lang w:val="sr-Cyrl-CS"/>
        </w:rPr>
      </w:pPr>
      <w:r w:rsidRPr="001611A6">
        <w:rPr>
          <w:b/>
          <w:bCs/>
          <w:i/>
          <w:iCs/>
          <w:lang w:val="sr-Cyrl-CS"/>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709"/>
        <w:gridCol w:w="851"/>
        <w:gridCol w:w="6917"/>
        <w:gridCol w:w="78"/>
      </w:tblGrid>
      <w:tr w:rsidR="002D7FBC" w:rsidRPr="001611A6" w14:paraId="209E1CF9" w14:textId="77777777" w:rsidTr="005E6968">
        <w:tc>
          <w:tcPr>
            <w:tcW w:w="10823" w:type="dxa"/>
            <w:gridSpan w:val="6"/>
          </w:tcPr>
          <w:p w14:paraId="35B5A7DF" w14:textId="77777777" w:rsidR="002D7FBC" w:rsidRDefault="002D7FBC" w:rsidP="003405DD">
            <w:pPr>
              <w:jc w:val="both"/>
              <w:rPr>
                <w:color w:val="000000"/>
                <w:lang w:val="sr-Cyrl-CS"/>
              </w:rPr>
            </w:pPr>
          </w:p>
          <w:p w14:paraId="14F5F39A" w14:textId="77777777" w:rsidR="002D7FBC" w:rsidRPr="00547A7D" w:rsidRDefault="002D7FBC" w:rsidP="003405DD">
            <w:pPr>
              <w:jc w:val="center"/>
              <w:rPr>
                <w:b/>
                <w:color w:val="000000"/>
                <w:lang w:val="sr-Cyrl-CS"/>
              </w:rPr>
            </w:pPr>
            <w:r w:rsidRPr="00547A7D">
              <w:rPr>
                <w:b/>
                <w:color w:val="000000"/>
                <w:lang w:val="sr-Cyrl-CS"/>
              </w:rPr>
              <w:t>Јавна набавка добара</w:t>
            </w:r>
          </w:p>
          <w:p w14:paraId="3A8F0967" w14:textId="4A631F59" w:rsidR="002D7FBC" w:rsidRPr="002D7FBC" w:rsidRDefault="002D7FBC" w:rsidP="003405DD">
            <w:pPr>
              <w:widowControl/>
              <w:autoSpaceDE w:val="0"/>
              <w:jc w:val="center"/>
              <w:rPr>
                <w:rFonts w:eastAsia="Arial"/>
                <w:b/>
                <w:color w:val="000000"/>
                <w:kern w:val="1"/>
                <w:lang w:val="sr-Cyrl-RS" w:eastAsia="ar-SA"/>
              </w:rPr>
            </w:pPr>
            <w:r w:rsidRPr="00547A7D">
              <w:rPr>
                <w:rFonts w:eastAsia="Arial"/>
                <w:color w:val="000000"/>
                <w:kern w:val="1"/>
                <w:lang w:val="ru-RU" w:eastAsia="ar-SA"/>
              </w:rPr>
              <w:t xml:space="preserve">– </w:t>
            </w:r>
            <w:r>
              <w:rPr>
                <w:rFonts w:eastAsia="Arial"/>
                <w:b/>
                <w:color w:val="000000"/>
                <w:kern w:val="1"/>
                <w:lang w:val="sr-Cyrl-RS" w:eastAsia="ar-SA"/>
              </w:rPr>
              <w:t>МАШИНА ЗА СУДОВЕ И КАЗАН -</w:t>
            </w:r>
            <w:r w:rsidRPr="00547A7D">
              <w:rPr>
                <w:rFonts w:eastAsia="Arial"/>
                <w:b/>
                <w:color w:val="000000"/>
                <w:kern w:val="1"/>
                <w:lang w:val="sr-Cyrl-CS" w:eastAsia="ar-SA"/>
              </w:rPr>
              <w:t xml:space="preserve">ЈН број </w:t>
            </w:r>
            <w:r w:rsidR="006956AF">
              <w:rPr>
                <w:rFonts w:eastAsia="Arial"/>
                <w:b/>
                <w:color w:val="000000"/>
                <w:kern w:val="1"/>
                <w:lang w:val="sr-Cyrl-RS" w:eastAsia="ar-SA"/>
              </w:rPr>
              <w:t>16</w:t>
            </w:r>
            <w:r>
              <w:rPr>
                <w:rFonts w:eastAsia="Arial"/>
                <w:b/>
                <w:color w:val="000000"/>
                <w:kern w:val="1"/>
                <w:lang w:val="sr-Cyrl-CS" w:eastAsia="ar-SA"/>
              </w:rPr>
              <w:t>/2</w:t>
            </w:r>
            <w:r>
              <w:rPr>
                <w:rFonts w:eastAsia="Arial"/>
                <w:b/>
                <w:color w:val="000000"/>
                <w:kern w:val="1"/>
                <w:lang w:val="sr-Cyrl-RS" w:eastAsia="ar-SA"/>
              </w:rPr>
              <w:t>4</w:t>
            </w:r>
          </w:p>
          <w:p w14:paraId="1C687F93" w14:textId="2736D530" w:rsidR="002D7FBC" w:rsidRDefault="002D7FBC" w:rsidP="003405DD">
            <w:pPr>
              <w:widowControl/>
              <w:autoSpaceDE w:val="0"/>
              <w:jc w:val="center"/>
              <w:rPr>
                <w:rFonts w:eastAsia="Arial"/>
                <w:b/>
                <w:bCs/>
                <w:color w:val="000000"/>
                <w:kern w:val="1"/>
                <w:lang w:val="sr-Cyrl-RS" w:eastAsia="ar-SA"/>
              </w:rPr>
            </w:pPr>
            <w:r>
              <w:rPr>
                <w:rFonts w:eastAsia="Arial"/>
                <w:b/>
                <w:color w:val="000000"/>
                <w:kern w:val="1"/>
                <w:lang w:val="ru-RU" w:eastAsia="ar-SA"/>
              </w:rPr>
              <w:t>н</w:t>
            </w:r>
            <w:r w:rsidRPr="00547A7D">
              <w:rPr>
                <w:rFonts w:eastAsia="Arial"/>
                <w:b/>
                <w:color w:val="000000"/>
                <w:kern w:val="1"/>
                <w:lang w:val="ru-RU" w:eastAsia="ar-SA"/>
              </w:rPr>
              <w:t xml:space="preserve">азив и </w:t>
            </w:r>
            <w:r w:rsidRPr="00547A7D">
              <w:rPr>
                <w:rFonts w:eastAsia="Arial"/>
                <w:b/>
                <w:color w:val="000000"/>
                <w:kern w:val="1"/>
                <w:lang w:eastAsia="ar-SA"/>
              </w:rPr>
              <w:t>CPV</w:t>
            </w:r>
            <w:r>
              <w:rPr>
                <w:rFonts w:eastAsia="Arial"/>
                <w:b/>
                <w:color w:val="000000"/>
                <w:kern w:val="1"/>
                <w:lang w:val="ru-RU" w:eastAsia="ar-SA"/>
              </w:rPr>
              <w:t xml:space="preserve"> ознака</w:t>
            </w:r>
            <w:r w:rsidRPr="00547A7D">
              <w:rPr>
                <w:rFonts w:eastAsia="Arial"/>
                <w:b/>
                <w:color w:val="000000"/>
                <w:kern w:val="1"/>
                <w:lang w:val="ru-RU" w:eastAsia="ar-SA"/>
              </w:rPr>
              <w:t>:</w:t>
            </w:r>
            <w:r w:rsidRPr="00547A7D">
              <w:rPr>
                <w:rFonts w:eastAsia="Arial"/>
                <w:bCs/>
                <w:color w:val="000000"/>
                <w:kern w:val="1"/>
                <w:lang w:val="ru-RU" w:eastAsia="ar-SA"/>
              </w:rPr>
              <w:t xml:space="preserve"> </w:t>
            </w:r>
            <w:r>
              <w:rPr>
                <w:rFonts w:eastAsia="Arial"/>
                <w:b/>
                <w:bCs/>
                <w:color w:val="000000"/>
                <w:kern w:val="1"/>
                <w:lang w:val="ru-RU" w:eastAsia="ar-SA"/>
              </w:rPr>
              <w:t>39</w:t>
            </w:r>
            <w:r>
              <w:rPr>
                <w:rFonts w:eastAsia="Arial"/>
                <w:b/>
                <w:bCs/>
                <w:color w:val="000000"/>
                <w:kern w:val="1"/>
                <w:lang w:val="sr-Cyrl-RS" w:eastAsia="ar-SA"/>
              </w:rPr>
              <w:t>220000</w:t>
            </w:r>
            <w:r w:rsidRPr="00547A7D">
              <w:rPr>
                <w:rFonts w:eastAsia="Arial"/>
                <w:b/>
                <w:bCs/>
                <w:color w:val="000000"/>
                <w:kern w:val="1"/>
                <w:lang w:val="ru-RU" w:eastAsia="ar-SA"/>
              </w:rPr>
              <w:t xml:space="preserve"> – </w:t>
            </w:r>
            <w:r>
              <w:rPr>
                <w:rFonts w:eastAsia="Arial"/>
                <w:b/>
                <w:bCs/>
                <w:color w:val="000000"/>
                <w:kern w:val="1"/>
                <w:lang w:val="sr-Cyrl-RS" w:eastAsia="ar-SA"/>
              </w:rPr>
              <w:t>Кухињска опрема, предмети за домаћинство и</w:t>
            </w:r>
          </w:p>
          <w:p w14:paraId="1739608B" w14:textId="0E08CE36" w:rsidR="002D7FBC" w:rsidRPr="002D7FBC" w:rsidRDefault="002D7FBC" w:rsidP="003405DD">
            <w:pPr>
              <w:widowControl/>
              <w:autoSpaceDE w:val="0"/>
              <w:jc w:val="center"/>
              <w:rPr>
                <w:rFonts w:eastAsia="Arial"/>
                <w:b/>
                <w:color w:val="000000"/>
                <w:kern w:val="1"/>
                <w:lang w:val="sr-Cyrl-RS" w:eastAsia="ar-SA"/>
              </w:rPr>
            </w:pPr>
            <w:r>
              <w:rPr>
                <w:rFonts w:eastAsia="Arial"/>
                <w:b/>
                <w:bCs/>
                <w:color w:val="000000"/>
                <w:kern w:val="1"/>
                <w:lang w:val="sr-Cyrl-RS" w:eastAsia="ar-SA"/>
              </w:rPr>
              <w:t>потрепштине за угоститељство</w:t>
            </w:r>
          </w:p>
          <w:p w14:paraId="6FF2E4FE" w14:textId="77777777" w:rsidR="002D7FBC" w:rsidRDefault="002D7FBC" w:rsidP="003405DD">
            <w:pPr>
              <w:jc w:val="both"/>
              <w:rPr>
                <w:color w:val="000000"/>
                <w:lang w:val="sr-Cyrl-CS"/>
              </w:rPr>
            </w:pPr>
          </w:p>
          <w:p w14:paraId="5447E620" w14:textId="77777777" w:rsidR="002D7FBC" w:rsidRPr="001611A6" w:rsidRDefault="002D7FBC" w:rsidP="003405DD">
            <w:pPr>
              <w:jc w:val="center"/>
              <w:rPr>
                <w:color w:val="000000"/>
                <w:u w:val="single"/>
              </w:rPr>
            </w:pPr>
            <w:r w:rsidRPr="001611A6">
              <w:rPr>
                <w:b/>
                <w:bCs/>
                <w:color w:val="000000"/>
                <w:u w:val="single"/>
              </w:rPr>
              <w:t>К</w:t>
            </w:r>
            <w:r>
              <w:rPr>
                <w:b/>
                <w:bCs/>
                <w:color w:val="000000"/>
                <w:u w:val="single"/>
              </w:rPr>
              <w:t>ВАЛИТЕТ</w:t>
            </w:r>
          </w:p>
          <w:p w14:paraId="65542B38" w14:textId="77777777" w:rsidR="002D7FBC" w:rsidRPr="00E42640" w:rsidRDefault="002D7FBC" w:rsidP="003405DD">
            <w:pPr>
              <w:jc w:val="both"/>
              <w:rPr>
                <w:color w:val="000000"/>
                <w:lang w:val="ru-RU"/>
              </w:rPr>
            </w:pPr>
            <w:r w:rsidRPr="00E42640">
              <w:rPr>
                <w:b/>
                <w:bCs/>
                <w:color w:val="000000"/>
                <w:lang w:val="ru-RU"/>
              </w:rPr>
              <w:t>1)</w:t>
            </w:r>
            <w:r w:rsidRPr="00E42640">
              <w:rPr>
                <w:bCs/>
                <w:color w:val="000000"/>
                <w:lang w:val="ru-RU"/>
              </w:rPr>
              <w:t>. Предметна добра морају у свим аспектима одговарати стандардима прихваћеним у Републици Србији и Европској Унији, важећим стандардима квалитета који одговарају прописима за предметну набавку, као и захтевима датим у конкурсној документацији наручиоца</w:t>
            </w:r>
            <w:r w:rsidRPr="00E42640">
              <w:rPr>
                <w:color w:val="000000"/>
                <w:lang w:val="ru-RU"/>
              </w:rPr>
              <w:t xml:space="preserve"> техничким спецификациј</w:t>
            </w:r>
            <w:r>
              <w:rPr>
                <w:color w:val="000000"/>
                <w:lang w:val="ru-RU"/>
              </w:rPr>
              <w:t>ама, еквивалентима робних марки.</w:t>
            </w:r>
          </w:p>
          <w:p w14:paraId="690AFC20" w14:textId="77777777" w:rsidR="002D7FBC" w:rsidRPr="00E42640" w:rsidRDefault="002D7FBC" w:rsidP="003405DD">
            <w:pPr>
              <w:jc w:val="both"/>
              <w:rPr>
                <w:color w:val="000000"/>
                <w:lang w:val="ru-RU"/>
              </w:rPr>
            </w:pPr>
          </w:p>
          <w:p w14:paraId="65775055" w14:textId="77777777" w:rsidR="002D7FBC" w:rsidRDefault="002D7FBC" w:rsidP="003405DD">
            <w:pPr>
              <w:jc w:val="both"/>
              <w:rPr>
                <w:bCs/>
                <w:color w:val="000000"/>
                <w:lang w:val="ru-RU"/>
              </w:rPr>
            </w:pPr>
            <w:r w:rsidRPr="00E42640">
              <w:rPr>
                <w:b/>
                <w:bCs/>
                <w:color w:val="000000"/>
                <w:lang w:val="ru-RU"/>
              </w:rPr>
              <w:t>2)</w:t>
            </w:r>
            <w:r w:rsidRPr="00E42640">
              <w:rPr>
                <w:bCs/>
                <w:color w:val="000000"/>
                <w:lang w:val="ru-RU"/>
              </w:rPr>
              <w:t xml:space="preserve"> Рок испоруке се прецизира од дана пријема наруџбенице представника Наручиоца која се упућује у писаној форми  </w:t>
            </w:r>
          </w:p>
          <w:p w14:paraId="2D51BE9F" w14:textId="77777777" w:rsidR="002D7FBC" w:rsidRDefault="002D7FBC" w:rsidP="003405DD">
            <w:pPr>
              <w:jc w:val="both"/>
              <w:rPr>
                <w:bCs/>
                <w:color w:val="000000"/>
                <w:lang w:val="ru-RU"/>
              </w:rPr>
            </w:pPr>
          </w:p>
          <w:p w14:paraId="340AA943" w14:textId="77777777" w:rsidR="002D7FBC" w:rsidRPr="00E42640" w:rsidRDefault="002D7FBC" w:rsidP="003405DD">
            <w:pPr>
              <w:jc w:val="both"/>
              <w:rPr>
                <w:bCs/>
                <w:color w:val="000000"/>
                <w:lang w:val="ru-RU"/>
              </w:rPr>
            </w:pPr>
            <w:r w:rsidRPr="00E42640">
              <w:rPr>
                <w:b/>
                <w:bCs/>
                <w:color w:val="000000"/>
                <w:lang w:val="ru-RU"/>
              </w:rPr>
              <w:t>3)</w:t>
            </w:r>
            <w:r w:rsidRPr="00E42640">
              <w:rPr>
                <w:bCs/>
                <w:color w:val="000000"/>
                <w:lang w:val="ru-RU"/>
              </w:rPr>
              <w:t xml:space="preserve"> Понуђач одговара Наручиоцу за квалитет добара у гарантном року.</w:t>
            </w:r>
          </w:p>
          <w:p w14:paraId="180C3E78" w14:textId="77777777" w:rsidR="002D7FBC" w:rsidRPr="00E42640" w:rsidRDefault="002D7FBC" w:rsidP="003405DD">
            <w:pPr>
              <w:jc w:val="both"/>
              <w:rPr>
                <w:bCs/>
                <w:color w:val="000000"/>
                <w:lang w:val="ru-RU"/>
              </w:rPr>
            </w:pPr>
            <w:r w:rsidRPr="00E42640">
              <w:rPr>
                <w:bCs/>
                <w:color w:val="000000"/>
                <w:lang w:val="ru-RU"/>
              </w:rPr>
              <w:t xml:space="preserve"> </w:t>
            </w:r>
          </w:p>
          <w:p w14:paraId="28C52DE1" w14:textId="77777777" w:rsidR="002D7FBC" w:rsidRPr="00E42640" w:rsidRDefault="002D7FBC" w:rsidP="003405DD">
            <w:pPr>
              <w:jc w:val="both"/>
              <w:rPr>
                <w:color w:val="000000"/>
                <w:lang w:val="ru-RU"/>
              </w:rPr>
            </w:pPr>
            <w:r w:rsidRPr="00E42640">
              <w:rPr>
                <w:b/>
                <w:bCs/>
                <w:color w:val="000000"/>
                <w:lang w:val="ru-RU"/>
              </w:rPr>
              <w:t>4)</w:t>
            </w:r>
            <w:r w:rsidRPr="00E42640">
              <w:rPr>
                <w:bCs/>
                <w:color w:val="000000"/>
                <w:lang w:val="ru-RU"/>
              </w:rPr>
              <w:t xml:space="preserve"> Наручилац и понуђач ће записнички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или робу заменити у </w:t>
            </w:r>
            <w:r w:rsidRPr="00E42640">
              <w:rPr>
                <w:color w:val="000000"/>
                <w:lang w:val="ru-RU"/>
              </w:rPr>
              <w:t xml:space="preserve">року не дужем од </w:t>
            </w:r>
            <w:r w:rsidRPr="005E6968">
              <w:t>8</w:t>
            </w:r>
            <w:r w:rsidRPr="005E6968">
              <w:rPr>
                <w:lang w:val="ru-RU"/>
              </w:rPr>
              <w:t xml:space="preserve"> (</w:t>
            </w:r>
            <w:r w:rsidRPr="005E6968">
              <w:t>осам</w:t>
            </w:r>
            <w:r w:rsidRPr="005E6968">
              <w:rPr>
                <w:lang w:val="ru-RU"/>
              </w:rPr>
              <w:t xml:space="preserve">) </w:t>
            </w:r>
            <w:r w:rsidRPr="00E42640">
              <w:rPr>
                <w:color w:val="000000"/>
                <w:lang w:val="ru-RU"/>
              </w:rPr>
              <w:t xml:space="preserve">дана од дана квалитативно – квантитативне примопредаје на локацији на којој је добра и преузео. </w:t>
            </w:r>
          </w:p>
          <w:p w14:paraId="2F7DD1A1" w14:textId="77777777" w:rsidR="002D7FBC" w:rsidRPr="00E42640" w:rsidRDefault="002D7FBC" w:rsidP="003405DD">
            <w:pPr>
              <w:jc w:val="both"/>
              <w:rPr>
                <w:b/>
                <w:bCs/>
                <w:color w:val="000000"/>
                <w:lang w:val="ru-RU"/>
              </w:rPr>
            </w:pPr>
          </w:p>
          <w:p w14:paraId="08DFCC82" w14:textId="77777777" w:rsidR="002D7FBC" w:rsidRPr="00E42640" w:rsidRDefault="002D7FBC" w:rsidP="003405DD">
            <w:pPr>
              <w:jc w:val="both"/>
              <w:rPr>
                <w:bCs/>
                <w:color w:val="000000"/>
                <w:lang w:val="ru-RU"/>
              </w:rPr>
            </w:pPr>
            <w:r w:rsidRPr="00E42640">
              <w:rPr>
                <w:b/>
                <w:bCs/>
                <w:color w:val="000000"/>
                <w:lang w:val="ru-RU"/>
              </w:rPr>
              <w:t>5)</w:t>
            </w:r>
            <w:r w:rsidRPr="00E42640">
              <w:rPr>
                <w:bCs/>
                <w:color w:val="000000"/>
                <w:lang w:val="ru-RU"/>
              </w:rPr>
              <w:t xml:space="preserve"> Понуђач је дужан да наручиоцу приликом достављања рачуна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w:t>
            </w:r>
          </w:p>
          <w:p w14:paraId="0CB5417D" w14:textId="77777777" w:rsidR="002D7FBC" w:rsidRPr="008F7B04" w:rsidRDefault="002D7FBC" w:rsidP="003405DD">
            <w:pPr>
              <w:jc w:val="center"/>
              <w:rPr>
                <w:color w:val="000000"/>
                <w:lang w:val="ru-RU"/>
              </w:rPr>
            </w:pPr>
          </w:p>
        </w:tc>
      </w:tr>
      <w:tr w:rsidR="002D7FBC" w:rsidRPr="001611A6" w14:paraId="77A114E8" w14:textId="77777777" w:rsidTr="005E6968">
        <w:tc>
          <w:tcPr>
            <w:tcW w:w="10823" w:type="dxa"/>
            <w:gridSpan w:val="6"/>
            <w:tcBorders>
              <w:top w:val="nil"/>
            </w:tcBorders>
            <w:shd w:val="clear" w:color="auto" w:fill="B4C6E7" w:themeFill="accent1" w:themeFillTint="66"/>
          </w:tcPr>
          <w:p w14:paraId="6CCA37A6" w14:textId="77777777" w:rsidR="002D7FBC" w:rsidRPr="00E5221E" w:rsidRDefault="002D7FBC" w:rsidP="003405DD">
            <w:pPr>
              <w:jc w:val="center"/>
              <w:rPr>
                <w:b/>
                <w:color w:val="000000"/>
                <w:sz w:val="16"/>
                <w:szCs w:val="16"/>
                <w:lang w:val="sr-Cyrl-CS"/>
              </w:rPr>
            </w:pPr>
          </w:p>
          <w:p w14:paraId="24C5C82D" w14:textId="77777777" w:rsidR="002D7FBC" w:rsidRPr="00FA4FD2" w:rsidRDefault="002D7FBC" w:rsidP="003405DD">
            <w:pPr>
              <w:jc w:val="center"/>
              <w:rPr>
                <w:rFonts w:eastAsia="Times New Roman" w:cs="YuHelvetica"/>
                <w:b/>
                <w:kern w:val="1"/>
                <w:lang w:val="sr-Cyrl-CS" w:eastAsia="ar-SA"/>
              </w:rPr>
            </w:pPr>
            <w:r>
              <w:rPr>
                <w:b/>
                <w:color w:val="000000"/>
                <w:sz w:val="22"/>
                <w:szCs w:val="22"/>
                <w:lang w:val="sr-Cyrl-CS"/>
              </w:rPr>
              <w:t xml:space="preserve"> </w:t>
            </w:r>
            <w:r w:rsidRPr="00FA4FD2">
              <w:rPr>
                <w:rFonts w:eastAsia="Times New Roman" w:cs="YuHelvetica"/>
                <w:b/>
                <w:kern w:val="1"/>
                <w:lang w:val="sr-Cyrl-CS" w:eastAsia="ar-SA"/>
              </w:rPr>
              <w:t>СПЕЦИФИКАЦИЈА ТЕХНИЧКИХ КАРАКТЕРИСТИКА</w:t>
            </w:r>
          </w:p>
          <w:p w14:paraId="529D3D57" w14:textId="77777777" w:rsidR="002D7FBC" w:rsidRDefault="002D7FBC" w:rsidP="003405DD">
            <w:pPr>
              <w:widowControl/>
              <w:jc w:val="center"/>
              <w:rPr>
                <w:rFonts w:eastAsia="Times New Roman" w:cs="YuHelvetica"/>
                <w:b/>
                <w:kern w:val="1"/>
                <w:lang w:val="sr-Cyrl-CS" w:eastAsia="ar-SA"/>
              </w:rPr>
            </w:pPr>
            <w:r w:rsidRPr="00FA4FD2">
              <w:rPr>
                <w:rFonts w:eastAsia="Times New Roman" w:cs="YuHelvetica"/>
                <w:b/>
                <w:kern w:val="1"/>
                <w:lang w:val="sr-Cyrl-CS" w:eastAsia="ar-SA"/>
              </w:rPr>
              <w:t>КВАЛИТЕТ, КОЛИЧИНЕ И ОПИС ДОБАРА</w:t>
            </w:r>
          </w:p>
          <w:p w14:paraId="75470805" w14:textId="77777777" w:rsidR="002D7FBC" w:rsidRPr="00FA4FD2" w:rsidRDefault="002D7FBC" w:rsidP="003405DD">
            <w:pPr>
              <w:widowControl/>
              <w:rPr>
                <w:rFonts w:eastAsia="Times New Roman" w:cs="YuHelvetica"/>
                <w:b/>
                <w:kern w:val="1"/>
                <w:lang w:val="sr-Cyrl-CS" w:eastAsia="ar-SA"/>
              </w:rPr>
            </w:pPr>
          </w:p>
          <w:p w14:paraId="410BAAB7" w14:textId="77777777" w:rsidR="002D7FBC" w:rsidRPr="008F7B04" w:rsidRDefault="002D7FBC" w:rsidP="003405DD">
            <w:pPr>
              <w:jc w:val="both"/>
              <w:rPr>
                <w:b/>
                <w:color w:val="000000"/>
                <w:lang w:val="sr-Cyrl-CS"/>
              </w:rPr>
            </w:pPr>
          </w:p>
        </w:tc>
      </w:tr>
      <w:tr w:rsidR="002D7FBC" w:rsidRPr="00AA16C1" w14:paraId="32159125" w14:textId="77777777" w:rsidTr="00E138E7">
        <w:trPr>
          <w:gridAfter w:val="1"/>
          <w:wAfter w:w="78" w:type="dxa"/>
        </w:trPr>
        <w:tc>
          <w:tcPr>
            <w:tcW w:w="567" w:type="dxa"/>
            <w:tcBorders>
              <w:top w:val="single" w:sz="4" w:space="0" w:color="auto"/>
              <w:left w:val="single" w:sz="4" w:space="0" w:color="auto"/>
              <w:bottom w:val="single" w:sz="4" w:space="0" w:color="auto"/>
              <w:right w:val="single" w:sz="4" w:space="0" w:color="auto"/>
            </w:tcBorders>
          </w:tcPr>
          <w:p w14:paraId="79ABEDBB" w14:textId="4D0A8DE1" w:rsidR="002D7FBC" w:rsidRPr="00FB0070" w:rsidRDefault="005E6968" w:rsidP="003405DD">
            <w:pPr>
              <w:widowControl/>
              <w:suppressLineNumbers/>
              <w:snapToGrid w:val="0"/>
              <w:ind w:left="72" w:hanging="146"/>
              <w:jc w:val="center"/>
              <w:rPr>
                <w:rFonts w:eastAsia="Times New Roman" w:cs="YuHelvetica"/>
                <w:b/>
                <w:bCs/>
                <w:kern w:val="1"/>
                <w:lang w:val="sr-Cyrl-RS" w:eastAsia="ar-SA"/>
              </w:rPr>
            </w:pPr>
            <w:r>
              <w:rPr>
                <w:rFonts w:eastAsia="Times New Roman" w:cs="YuHelvetica"/>
                <w:b/>
                <w:bCs/>
                <w:kern w:val="1"/>
                <w:lang w:val="sr-Cyrl-RS" w:eastAsia="ar-SA"/>
              </w:rPr>
              <w:t>Ред.бр.</w:t>
            </w:r>
          </w:p>
        </w:tc>
        <w:tc>
          <w:tcPr>
            <w:tcW w:w="1701" w:type="dxa"/>
            <w:tcBorders>
              <w:top w:val="single" w:sz="4" w:space="0" w:color="auto"/>
              <w:left w:val="single" w:sz="4" w:space="0" w:color="auto"/>
              <w:bottom w:val="single" w:sz="4" w:space="0" w:color="auto"/>
              <w:right w:val="single" w:sz="4" w:space="0" w:color="auto"/>
            </w:tcBorders>
          </w:tcPr>
          <w:p w14:paraId="53CC1D09" w14:textId="2A111270" w:rsidR="002D7FBC" w:rsidRPr="00AA16C1" w:rsidRDefault="002D7FBC" w:rsidP="002D7FBC">
            <w:pPr>
              <w:widowControl/>
              <w:suppressLineNumbers/>
              <w:snapToGrid w:val="0"/>
              <w:rPr>
                <w:rFonts w:eastAsia="Times New Roman" w:cs="YuHelvetica"/>
                <w:b/>
                <w:bCs/>
                <w:kern w:val="1"/>
                <w:lang w:val="sr-Cyrl-CS" w:eastAsia="ar-SA"/>
              </w:rPr>
            </w:pPr>
            <w:r w:rsidRPr="00AA16C1">
              <w:rPr>
                <w:rFonts w:eastAsia="Times New Roman" w:cs="YuHelvetica"/>
                <w:b/>
                <w:bCs/>
                <w:kern w:val="1"/>
                <w:sz w:val="22"/>
                <w:szCs w:val="22"/>
                <w:lang w:val="sr-Cyrl-CS" w:eastAsia="ar-SA"/>
              </w:rPr>
              <w:t xml:space="preserve"> Назив производа</w:t>
            </w:r>
          </w:p>
        </w:tc>
        <w:tc>
          <w:tcPr>
            <w:tcW w:w="709" w:type="dxa"/>
            <w:tcBorders>
              <w:top w:val="single" w:sz="4" w:space="0" w:color="auto"/>
              <w:left w:val="single" w:sz="4" w:space="0" w:color="auto"/>
              <w:bottom w:val="single" w:sz="4" w:space="0" w:color="auto"/>
              <w:right w:val="single" w:sz="4" w:space="0" w:color="auto"/>
            </w:tcBorders>
          </w:tcPr>
          <w:p w14:paraId="5882D715" w14:textId="77777777" w:rsidR="002D7FBC" w:rsidRPr="00AA16C1" w:rsidRDefault="002D7FBC" w:rsidP="003405DD">
            <w:pPr>
              <w:widowControl/>
              <w:rPr>
                <w:rFonts w:eastAsia="Times New Roman" w:cs="YuHelvetica"/>
                <w:b/>
                <w:kern w:val="1"/>
                <w:lang w:val="sr-Cyrl-CS" w:eastAsia="ar-SA"/>
              </w:rPr>
            </w:pPr>
            <w:r w:rsidRPr="00AA16C1">
              <w:rPr>
                <w:rFonts w:eastAsia="Times New Roman" w:cs="YuHelvetica"/>
                <w:b/>
                <w:kern w:val="1"/>
                <w:sz w:val="22"/>
                <w:szCs w:val="22"/>
                <w:lang w:val="sr-Cyrl-CS" w:eastAsia="ar-SA"/>
              </w:rPr>
              <w:t>Јед. мере</w:t>
            </w:r>
          </w:p>
        </w:tc>
        <w:tc>
          <w:tcPr>
            <w:tcW w:w="851" w:type="dxa"/>
            <w:tcBorders>
              <w:top w:val="single" w:sz="4" w:space="0" w:color="auto"/>
              <w:left w:val="single" w:sz="4" w:space="0" w:color="auto"/>
              <w:bottom w:val="single" w:sz="4" w:space="0" w:color="auto"/>
              <w:right w:val="single" w:sz="4" w:space="0" w:color="auto"/>
            </w:tcBorders>
          </w:tcPr>
          <w:p w14:paraId="2E82214A" w14:textId="77777777" w:rsidR="002D7FBC" w:rsidRPr="00AA16C1" w:rsidRDefault="002D7FBC" w:rsidP="003405DD">
            <w:pPr>
              <w:widowControl/>
              <w:suppressLineNumbers/>
              <w:snapToGrid w:val="0"/>
              <w:jc w:val="center"/>
              <w:rPr>
                <w:rFonts w:eastAsia="Times New Roman" w:cs="YuHelvetica"/>
                <w:b/>
                <w:bCs/>
                <w:kern w:val="1"/>
                <w:lang w:val="sr-Cyrl-CS" w:eastAsia="ar-SA"/>
              </w:rPr>
            </w:pPr>
            <w:r w:rsidRPr="00AA16C1">
              <w:rPr>
                <w:rFonts w:eastAsia="Times New Roman" w:cs="YuHelvetica"/>
                <w:b/>
                <w:bCs/>
                <w:kern w:val="1"/>
                <w:sz w:val="22"/>
                <w:szCs w:val="22"/>
                <w:lang w:val="sr-Cyrl-CS" w:eastAsia="ar-SA"/>
              </w:rPr>
              <w:t xml:space="preserve">Количина </w:t>
            </w:r>
          </w:p>
        </w:tc>
        <w:tc>
          <w:tcPr>
            <w:tcW w:w="6917" w:type="dxa"/>
            <w:tcBorders>
              <w:top w:val="single" w:sz="4" w:space="0" w:color="auto"/>
              <w:left w:val="single" w:sz="4" w:space="0" w:color="auto"/>
              <w:bottom w:val="single" w:sz="4" w:space="0" w:color="auto"/>
              <w:right w:val="single" w:sz="4" w:space="0" w:color="auto"/>
            </w:tcBorders>
          </w:tcPr>
          <w:p w14:paraId="5143D37F" w14:textId="77777777" w:rsidR="002D7FBC" w:rsidRPr="00AA16C1" w:rsidRDefault="002D7FBC" w:rsidP="003405DD">
            <w:pPr>
              <w:widowControl/>
              <w:suppressLineNumbers/>
              <w:snapToGrid w:val="0"/>
              <w:jc w:val="center"/>
              <w:rPr>
                <w:rFonts w:eastAsia="Times New Roman" w:cs="YuHelvetica"/>
                <w:b/>
                <w:bCs/>
                <w:kern w:val="1"/>
                <w:lang w:val="ru-RU" w:eastAsia="ar-SA"/>
              </w:rPr>
            </w:pPr>
            <w:r w:rsidRPr="00AA16C1">
              <w:rPr>
                <w:rFonts w:eastAsia="Times New Roman" w:cs="YuHelvetica"/>
                <w:b/>
                <w:bCs/>
                <w:kern w:val="1"/>
                <w:sz w:val="22"/>
                <w:szCs w:val="22"/>
                <w:lang w:val="ru-RU" w:eastAsia="ar-SA"/>
              </w:rPr>
              <w:t>Карактеристике</w:t>
            </w:r>
          </w:p>
        </w:tc>
      </w:tr>
      <w:tr w:rsidR="002D7FBC" w:rsidRPr="00AA16C1" w14:paraId="7828D7B6" w14:textId="77777777" w:rsidTr="00E138E7">
        <w:trPr>
          <w:gridAfter w:val="1"/>
          <w:wAfter w:w="78" w:type="dxa"/>
        </w:trPr>
        <w:tc>
          <w:tcPr>
            <w:tcW w:w="567" w:type="dxa"/>
            <w:tcBorders>
              <w:top w:val="single" w:sz="4" w:space="0" w:color="auto"/>
              <w:left w:val="single" w:sz="4" w:space="0" w:color="auto"/>
              <w:bottom w:val="single" w:sz="4" w:space="0" w:color="auto"/>
              <w:right w:val="single" w:sz="4" w:space="0" w:color="auto"/>
            </w:tcBorders>
          </w:tcPr>
          <w:p w14:paraId="006E0266" w14:textId="77777777" w:rsidR="002D7FBC" w:rsidRPr="00AA16C1" w:rsidRDefault="002D7FBC" w:rsidP="003405DD">
            <w:pPr>
              <w:widowControl/>
              <w:suppressLineNumbers/>
              <w:snapToGrid w:val="0"/>
              <w:ind w:left="124" w:hanging="90"/>
              <w:jc w:val="center"/>
              <w:rPr>
                <w:rFonts w:eastAsia="Times New Roman" w:cs="YuHelvetica"/>
                <w:b/>
                <w:bCs/>
                <w:kern w:val="1"/>
                <w:lang w:val="ru-RU" w:eastAsia="ar-SA"/>
              </w:rPr>
            </w:pPr>
          </w:p>
        </w:tc>
        <w:tc>
          <w:tcPr>
            <w:tcW w:w="1701" w:type="dxa"/>
            <w:tcBorders>
              <w:top w:val="single" w:sz="4" w:space="0" w:color="auto"/>
              <w:left w:val="single" w:sz="4" w:space="0" w:color="auto"/>
              <w:bottom w:val="single" w:sz="4" w:space="0" w:color="auto"/>
              <w:right w:val="single" w:sz="4" w:space="0" w:color="auto"/>
            </w:tcBorders>
          </w:tcPr>
          <w:p w14:paraId="175EC13F" w14:textId="77777777" w:rsidR="002D7FBC" w:rsidRPr="00AA16C1" w:rsidRDefault="002D7FBC" w:rsidP="003405DD">
            <w:pPr>
              <w:widowControl/>
              <w:suppressLineNumbers/>
              <w:snapToGrid w:val="0"/>
              <w:jc w:val="center"/>
              <w:rPr>
                <w:rFonts w:eastAsia="Times New Roman" w:cs="YuHelvetica"/>
                <w:b/>
                <w:bCs/>
                <w:kern w:val="1"/>
                <w:u w:val="single"/>
                <w:lang w:val="sr-Cyrl-CS" w:eastAsia="ar-SA"/>
              </w:rPr>
            </w:pPr>
            <w:r w:rsidRPr="00AA16C1">
              <w:rPr>
                <w:rFonts w:eastAsia="Times New Roman" w:cs="YuHelvetica"/>
                <w:b/>
                <w:bCs/>
                <w:kern w:val="1"/>
                <w:sz w:val="22"/>
                <w:szCs w:val="22"/>
                <w:u w:val="single"/>
                <w:lang w:val="sr-Cyrl-CS" w:eastAsia="ar-SA"/>
              </w:rPr>
              <w:t>2.</w:t>
            </w:r>
          </w:p>
        </w:tc>
        <w:tc>
          <w:tcPr>
            <w:tcW w:w="709" w:type="dxa"/>
            <w:tcBorders>
              <w:top w:val="single" w:sz="4" w:space="0" w:color="auto"/>
              <w:left w:val="single" w:sz="4" w:space="0" w:color="auto"/>
              <w:bottom w:val="single" w:sz="4" w:space="0" w:color="auto"/>
              <w:right w:val="single" w:sz="4" w:space="0" w:color="auto"/>
            </w:tcBorders>
          </w:tcPr>
          <w:p w14:paraId="29285E96" w14:textId="77777777" w:rsidR="002D7FBC" w:rsidRPr="00AA16C1" w:rsidRDefault="002D7FBC" w:rsidP="003405DD">
            <w:pPr>
              <w:widowControl/>
              <w:rPr>
                <w:rFonts w:eastAsia="Times New Roman" w:cs="YuHelvetica"/>
                <w:b/>
                <w:kern w:val="1"/>
                <w:lang w:val="sr-Cyrl-CS" w:eastAsia="ar-SA"/>
              </w:rPr>
            </w:pPr>
            <w:r w:rsidRPr="00AA16C1">
              <w:rPr>
                <w:rFonts w:eastAsia="Times New Roman" w:cs="YuHelvetica"/>
                <w:b/>
                <w:kern w:val="1"/>
                <w:sz w:val="22"/>
                <w:szCs w:val="22"/>
                <w:lang w:val="sr-Cyrl-CS" w:eastAsia="ar-SA"/>
              </w:rPr>
              <w:t xml:space="preserve">   3.</w:t>
            </w:r>
          </w:p>
        </w:tc>
        <w:tc>
          <w:tcPr>
            <w:tcW w:w="851" w:type="dxa"/>
            <w:tcBorders>
              <w:top w:val="single" w:sz="4" w:space="0" w:color="auto"/>
              <w:left w:val="single" w:sz="4" w:space="0" w:color="auto"/>
              <w:bottom w:val="single" w:sz="4" w:space="0" w:color="auto"/>
              <w:right w:val="single" w:sz="4" w:space="0" w:color="auto"/>
            </w:tcBorders>
          </w:tcPr>
          <w:p w14:paraId="0CC17786" w14:textId="77777777" w:rsidR="002D7FBC" w:rsidRPr="00AA16C1" w:rsidRDefault="002D7FBC" w:rsidP="003405DD">
            <w:pPr>
              <w:widowControl/>
              <w:suppressLineNumbers/>
              <w:snapToGrid w:val="0"/>
              <w:jc w:val="center"/>
              <w:rPr>
                <w:rFonts w:eastAsia="Times New Roman" w:cs="YuHelvetica"/>
                <w:b/>
                <w:bCs/>
                <w:kern w:val="1"/>
                <w:lang w:val="sr-Cyrl-CS" w:eastAsia="ar-SA"/>
              </w:rPr>
            </w:pPr>
            <w:r w:rsidRPr="00AA16C1">
              <w:rPr>
                <w:rFonts w:eastAsia="Times New Roman" w:cs="YuHelvetica"/>
                <w:b/>
                <w:bCs/>
                <w:kern w:val="1"/>
                <w:sz w:val="22"/>
                <w:szCs w:val="22"/>
                <w:lang w:val="sr-Cyrl-CS" w:eastAsia="ar-SA"/>
              </w:rPr>
              <w:t xml:space="preserve">    4.</w:t>
            </w:r>
          </w:p>
        </w:tc>
        <w:tc>
          <w:tcPr>
            <w:tcW w:w="6917" w:type="dxa"/>
            <w:tcBorders>
              <w:top w:val="single" w:sz="4" w:space="0" w:color="auto"/>
              <w:left w:val="single" w:sz="4" w:space="0" w:color="auto"/>
              <w:bottom w:val="single" w:sz="4" w:space="0" w:color="auto"/>
              <w:right w:val="single" w:sz="4" w:space="0" w:color="auto"/>
            </w:tcBorders>
          </w:tcPr>
          <w:p w14:paraId="75131566" w14:textId="77777777" w:rsidR="002D7FBC" w:rsidRPr="00AA16C1" w:rsidRDefault="002D7FBC" w:rsidP="003405DD">
            <w:pPr>
              <w:widowControl/>
              <w:suppressLineNumbers/>
              <w:snapToGrid w:val="0"/>
              <w:rPr>
                <w:rFonts w:eastAsia="Times New Roman" w:cs="YuHelvetica"/>
                <w:b/>
                <w:bCs/>
                <w:kern w:val="1"/>
                <w:lang w:val="ru-RU" w:eastAsia="ar-SA"/>
              </w:rPr>
            </w:pPr>
            <w:r w:rsidRPr="00AA16C1">
              <w:rPr>
                <w:rFonts w:eastAsia="Times New Roman" w:cs="YuHelvetica"/>
                <w:b/>
                <w:bCs/>
                <w:kern w:val="1"/>
                <w:sz w:val="22"/>
                <w:szCs w:val="22"/>
                <w:lang w:val="ru-RU" w:eastAsia="ar-SA"/>
              </w:rPr>
              <w:t xml:space="preserve">          5.</w:t>
            </w:r>
          </w:p>
        </w:tc>
      </w:tr>
      <w:tr w:rsidR="002D7FBC" w:rsidRPr="00AA16C1" w14:paraId="1E4EDDE2" w14:textId="77777777" w:rsidTr="00E138E7">
        <w:trPr>
          <w:gridAfter w:val="1"/>
          <w:wAfter w:w="78" w:type="dxa"/>
        </w:trPr>
        <w:tc>
          <w:tcPr>
            <w:tcW w:w="567" w:type="dxa"/>
          </w:tcPr>
          <w:p w14:paraId="51E847B1" w14:textId="77777777" w:rsidR="002D7FBC" w:rsidRPr="002A14E3" w:rsidRDefault="002D7FBC" w:rsidP="003405DD">
            <w:pPr>
              <w:pStyle w:val="ListParagraph"/>
              <w:numPr>
                <w:ilvl w:val="0"/>
                <w:numId w:val="1"/>
              </w:numPr>
              <w:suppressLineNumbers/>
              <w:snapToGrid w:val="0"/>
              <w:ind w:left="357" w:hanging="357"/>
              <w:jc w:val="center"/>
              <w:rPr>
                <w:rFonts w:eastAsia="Times New Roman" w:cs="YuHelvetica"/>
                <w:b/>
                <w:bCs/>
                <w:lang w:val="ru-RU"/>
              </w:rPr>
            </w:pPr>
          </w:p>
        </w:tc>
        <w:tc>
          <w:tcPr>
            <w:tcW w:w="1701" w:type="dxa"/>
          </w:tcPr>
          <w:p w14:paraId="571344C4" w14:textId="77777777" w:rsidR="002D7FBC" w:rsidRDefault="002D7FBC" w:rsidP="003405DD">
            <w:pPr>
              <w:rPr>
                <w:rFonts w:eastAsia="Calibri"/>
                <w:b/>
              </w:rPr>
            </w:pPr>
          </w:p>
          <w:p w14:paraId="1941E986" w14:textId="77777777" w:rsidR="002D7FBC" w:rsidRDefault="002D7FBC" w:rsidP="003405DD">
            <w:pPr>
              <w:rPr>
                <w:rFonts w:eastAsia="Calibri"/>
                <w:b/>
              </w:rPr>
            </w:pPr>
          </w:p>
          <w:p w14:paraId="10A876C0" w14:textId="135CF93F" w:rsidR="002D7FBC" w:rsidRPr="002D7FBC" w:rsidRDefault="002D7FBC" w:rsidP="003405DD">
            <w:pPr>
              <w:rPr>
                <w:lang w:val="sr-Cyrl-RS"/>
              </w:rPr>
            </w:pPr>
            <w:r>
              <w:rPr>
                <w:rFonts w:eastAsia="Calibri"/>
                <w:b/>
                <w:sz w:val="22"/>
                <w:szCs w:val="22"/>
                <w:lang w:val="sr-Cyrl-RS"/>
              </w:rPr>
              <w:t>Машина за судове</w:t>
            </w:r>
          </w:p>
        </w:tc>
        <w:tc>
          <w:tcPr>
            <w:tcW w:w="709" w:type="dxa"/>
          </w:tcPr>
          <w:p w14:paraId="29E058A7" w14:textId="77777777" w:rsidR="002D7FBC" w:rsidRDefault="002D7FBC" w:rsidP="003405DD">
            <w:pPr>
              <w:jc w:val="center"/>
              <w:rPr>
                <w:lang w:val="sr-Cyrl-CS"/>
              </w:rPr>
            </w:pPr>
          </w:p>
          <w:p w14:paraId="1EB5BB4A" w14:textId="77777777" w:rsidR="002D7FBC" w:rsidRDefault="002D7FBC" w:rsidP="003405DD">
            <w:pPr>
              <w:jc w:val="center"/>
              <w:rPr>
                <w:lang w:val="sr-Cyrl-CS"/>
              </w:rPr>
            </w:pPr>
          </w:p>
          <w:p w14:paraId="3CDEB756" w14:textId="77777777" w:rsidR="002D7FBC" w:rsidRPr="00667CE2" w:rsidRDefault="002D7FBC" w:rsidP="003405DD">
            <w:pPr>
              <w:jc w:val="center"/>
              <w:rPr>
                <w:lang w:val="sr-Cyrl-CS"/>
              </w:rPr>
            </w:pPr>
            <w:r>
              <w:rPr>
                <w:sz w:val="22"/>
                <w:lang w:val="sr-Cyrl-CS"/>
              </w:rPr>
              <w:t>ком</w:t>
            </w:r>
          </w:p>
        </w:tc>
        <w:tc>
          <w:tcPr>
            <w:tcW w:w="851" w:type="dxa"/>
          </w:tcPr>
          <w:p w14:paraId="472C3396" w14:textId="77777777" w:rsidR="002D7FBC" w:rsidRDefault="002D7FBC" w:rsidP="003405DD">
            <w:pPr>
              <w:jc w:val="center"/>
            </w:pPr>
          </w:p>
          <w:p w14:paraId="05C3D710" w14:textId="77777777" w:rsidR="002D7FBC" w:rsidRDefault="002D7FBC" w:rsidP="003405DD">
            <w:pPr>
              <w:jc w:val="center"/>
            </w:pPr>
          </w:p>
          <w:p w14:paraId="451E44EC" w14:textId="5A5DD5F0" w:rsidR="002D7FBC" w:rsidRPr="000C6C90" w:rsidRDefault="002D7FBC" w:rsidP="002D7FBC">
            <w:r>
              <w:rPr>
                <w:sz w:val="22"/>
                <w:szCs w:val="22"/>
                <w:lang w:val="sr-Cyrl-RS"/>
              </w:rPr>
              <w:t>1</w:t>
            </w:r>
          </w:p>
        </w:tc>
        <w:tc>
          <w:tcPr>
            <w:tcW w:w="6917" w:type="dxa"/>
          </w:tcPr>
          <w:p w14:paraId="4D1CE4D4" w14:textId="77777777" w:rsidR="002D7FBC" w:rsidRDefault="002D7FBC" w:rsidP="002D7FBC">
            <w:pPr>
              <w:rPr>
                <w:rFonts w:cstheme="minorHAnsi"/>
                <w:lang w:val="ru-RU"/>
              </w:rPr>
            </w:pPr>
            <w:r w:rsidRPr="003554AE">
              <w:rPr>
                <w:rFonts w:cstheme="minorHAnsi"/>
                <w:lang w:val="ru-RU"/>
              </w:rPr>
              <w:t>Набавка, транспорт и монтажа машине за прање посуђа</w:t>
            </w:r>
            <w:r w:rsidRPr="003554AE">
              <w:rPr>
                <w:rFonts w:cstheme="minorHAnsi"/>
                <w:lang w:val="sr-Cyrl-RS"/>
              </w:rPr>
              <w:t xml:space="preserve"> која испуњава хигијенске стандарде </w:t>
            </w:r>
            <w:r w:rsidRPr="003554AE">
              <w:rPr>
                <w:rFonts w:cstheme="minorHAnsi"/>
                <w:lang w:val="sr-Latn-RS"/>
              </w:rPr>
              <w:t>DIN SPEC 10534</w:t>
            </w:r>
            <w:r w:rsidRPr="003554AE">
              <w:rPr>
                <w:rFonts w:cstheme="minorHAnsi"/>
                <w:lang w:val="ru-RU"/>
              </w:rPr>
              <w:t>.</w:t>
            </w:r>
          </w:p>
          <w:p w14:paraId="6883782C" w14:textId="37D6A931" w:rsidR="002D7FBC" w:rsidRDefault="002D7FBC" w:rsidP="002D7FBC">
            <w:pPr>
              <w:rPr>
                <w:rFonts w:cstheme="minorHAnsi"/>
                <w:lang w:val="ru-RU"/>
              </w:rPr>
            </w:pPr>
            <w:r w:rsidRPr="00BF3366">
              <w:rPr>
                <w:rFonts w:cstheme="minorHAnsi"/>
                <w:b/>
                <w:bCs/>
                <w:lang w:val="ru-RU"/>
              </w:rPr>
              <w:t xml:space="preserve">Димензије </w:t>
            </w:r>
            <w:r w:rsidRPr="00BF3366">
              <w:rPr>
                <w:rFonts w:cstheme="minorHAnsi"/>
                <w:lang w:val="ru-RU"/>
              </w:rPr>
              <w:t>макс.</w:t>
            </w:r>
            <w:r w:rsidRPr="003554AE">
              <w:rPr>
                <w:rFonts w:cstheme="minorHAnsi"/>
                <w:lang w:val="ru-RU"/>
              </w:rPr>
              <w:t xml:space="preserve"> 600</w:t>
            </w:r>
            <w:r w:rsidRPr="003554AE">
              <w:rPr>
                <w:rFonts w:cstheme="minorHAnsi"/>
              </w:rPr>
              <w:t>x</w:t>
            </w:r>
            <w:r w:rsidRPr="003554AE">
              <w:rPr>
                <w:rFonts w:cstheme="minorHAnsi"/>
                <w:lang w:val="ru-RU"/>
              </w:rPr>
              <w:t>660</w:t>
            </w:r>
            <w:r w:rsidRPr="003554AE">
              <w:rPr>
                <w:rFonts w:cstheme="minorHAnsi"/>
              </w:rPr>
              <w:t>x</w:t>
            </w:r>
            <w:r w:rsidRPr="003554AE">
              <w:rPr>
                <w:rFonts w:cstheme="minorHAnsi"/>
                <w:lang w:val="ru-RU"/>
              </w:rPr>
              <w:t xml:space="preserve">860 мм. </w:t>
            </w:r>
          </w:p>
          <w:p w14:paraId="16A6240D" w14:textId="77777777" w:rsidR="002D7FBC" w:rsidRDefault="002D7FBC" w:rsidP="002D7FBC">
            <w:pPr>
              <w:rPr>
                <w:rFonts w:cstheme="minorHAnsi"/>
                <w:lang w:val="ru-RU"/>
              </w:rPr>
            </w:pPr>
            <w:r w:rsidRPr="00BF3366">
              <w:rPr>
                <w:rFonts w:cstheme="minorHAnsi"/>
                <w:b/>
                <w:bCs/>
                <w:lang w:val="ru-RU"/>
              </w:rPr>
              <w:t>Капацитет</w:t>
            </w:r>
            <w:r w:rsidRPr="003554AE">
              <w:rPr>
                <w:rFonts w:cstheme="minorHAnsi"/>
                <w:lang w:val="ru-RU"/>
              </w:rPr>
              <w:t xml:space="preserve"> мин. 40/28/23 корпи на сат и брзи програм од мин 65 корпи/сат. </w:t>
            </w:r>
          </w:p>
          <w:p w14:paraId="7EC1C80E" w14:textId="77777777" w:rsidR="002D7FBC" w:rsidRDefault="002D7FBC" w:rsidP="002D7FBC">
            <w:pPr>
              <w:rPr>
                <w:rFonts w:cstheme="minorHAnsi"/>
                <w:lang w:val="ru-RU"/>
              </w:rPr>
            </w:pPr>
            <w:r w:rsidRPr="00BF3366">
              <w:rPr>
                <w:rFonts w:cstheme="minorHAnsi"/>
                <w:b/>
                <w:bCs/>
                <w:lang w:val="ru-RU"/>
              </w:rPr>
              <w:t>Висина уметања посуђа</w:t>
            </w:r>
            <w:r w:rsidRPr="003554AE">
              <w:rPr>
                <w:rFonts w:cstheme="minorHAnsi"/>
                <w:lang w:val="ru-RU"/>
              </w:rPr>
              <w:t xml:space="preserve"> од 400 до 410 мм. </w:t>
            </w:r>
          </w:p>
          <w:p w14:paraId="6B24D046" w14:textId="77777777" w:rsidR="002D7FBC" w:rsidRDefault="002D7FBC" w:rsidP="002D7FBC">
            <w:pPr>
              <w:rPr>
                <w:rFonts w:cstheme="minorHAnsi"/>
                <w:lang w:val="ru-RU"/>
              </w:rPr>
            </w:pPr>
            <w:r w:rsidRPr="00BF3366">
              <w:rPr>
                <w:rFonts w:cstheme="minorHAnsi"/>
                <w:b/>
                <w:bCs/>
                <w:lang w:val="ru-RU"/>
              </w:rPr>
              <w:t>Запремина танка</w:t>
            </w:r>
            <w:r w:rsidRPr="003554AE">
              <w:rPr>
                <w:rFonts w:cstheme="minorHAnsi"/>
                <w:lang w:val="ru-RU"/>
              </w:rPr>
              <w:t xml:space="preserve"> мин.15л.  </w:t>
            </w:r>
          </w:p>
          <w:p w14:paraId="7E56EBC3" w14:textId="77777777" w:rsidR="002D7FBC" w:rsidRDefault="002D7FBC" w:rsidP="002D7FBC">
            <w:pPr>
              <w:rPr>
                <w:rFonts w:cstheme="minorHAnsi"/>
                <w:lang w:val="ru-RU"/>
              </w:rPr>
            </w:pPr>
            <w:r w:rsidRPr="00BF3366">
              <w:rPr>
                <w:rFonts w:cstheme="minorHAnsi"/>
                <w:b/>
                <w:bCs/>
                <w:lang w:val="ru-RU"/>
              </w:rPr>
              <w:t>Напон</w:t>
            </w:r>
            <w:r w:rsidRPr="003554AE">
              <w:rPr>
                <w:rFonts w:cstheme="minorHAnsi"/>
                <w:lang w:val="ru-RU"/>
              </w:rPr>
              <w:t xml:space="preserve"> 380</w:t>
            </w:r>
            <w:r w:rsidRPr="003554AE">
              <w:rPr>
                <w:rFonts w:cstheme="minorHAnsi"/>
              </w:rPr>
              <w:t>V</w:t>
            </w:r>
            <w:r w:rsidRPr="003554AE">
              <w:rPr>
                <w:rFonts w:cstheme="minorHAnsi"/>
                <w:lang w:val="ru-RU"/>
              </w:rPr>
              <w:t>-415</w:t>
            </w:r>
            <w:r w:rsidRPr="003554AE">
              <w:rPr>
                <w:rFonts w:cstheme="minorHAnsi"/>
              </w:rPr>
              <w:t>V</w:t>
            </w:r>
            <w:r w:rsidRPr="003554AE">
              <w:rPr>
                <w:rFonts w:cstheme="minorHAnsi"/>
                <w:lang w:val="ru-RU"/>
              </w:rPr>
              <w:t>/3</w:t>
            </w:r>
            <w:r w:rsidRPr="003554AE">
              <w:rPr>
                <w:rFonts w:cstheme="minorHAnsi"/>
              </w:rPr>
              <w:t>N</w:t>
            </w:r>
            <w:r w:rsidRPr="003554AE">
              <w:rPr>
                <w:rFonts w:cstheme="minorHAnsi"/>
                <w:lang w:val="ru-RU"/>
              </w:rPr>
              <w:t>, укупна прикљ.вредност  6- 7,9</w:t>
            </w:r>
            <w:r w:rsidRPr="003554AE">
              <w:rPr>
                <w:rFonts w:cstheme="minorHAnsi"/>
              </w:rPr>
              <w:t>Kw</w:t>
            </w:r>
            <w:r w:rsidRPr="003554AE">
              <w:rPr>
                <w:rFonts w:cstheme="minorHAnsi"/>
                <w:lang w:val="ru-RU"/>
              </w:rPr>
              <w:t xml:space="preserve">. </w:t>
            </w:r>
          </w:p>
          <w:p w14:paraId="679F8C0D" w14:textId="77777777" w:rsidR="002D7FBC" w:rsidRDefault="002D7FBC" w:rsidP="002D7FBC">
            <w:pPr>
              <w:rPr>
                <w:rFonts w:cstheme="minorHAnsi"/>
                <w:lang w:val="ru-RU"/>
              </w:rPr>
            </w:pPr>
            <w:r w:rsidRPr="003554AE">
              <w:rPr>
                <w:rFonts w:cstheme="minorHAnsi"/>
                <w:lang w:val="ru-RU"/>
              </w:rPr>
              <w:t>Мин</w:t>
            </w:r>
            <w:r w:rsidRPr="003554AE">
              <w:rPr>
                <w:rFonts w:cstheme="minorHAnsi"/>
                <w:lang w:val="sr-Cyrl-RS"/>
              </w:rPr>
              <w:t xml:space="preserve">имум </w:t>
            </w:r>
            <w:r w:rsidRPr="003554AE">
              <w:rPr>
                <w:rFonts w:cstheme="minorHAnsi"/>
                <w:lang w:val="ru-RU"/>
              </w:rPr>
              <w:t>три основна програма прања и додатни програми: интензивни програм (</w:t>
            </w:r>
            <w:r w:rsidRPr="003554AE">
              <w:rPr>
                <w:rFonts w:cstheme="minorHAnsi"/>
                <w:lang w:val="sr-Cyrl-RS"/>
              </w:rPr>
              <w:t>за тврдокорно запрљано посуђе)</w:t>
            </w:r>
            <w:r w:rsidRPr="003554AE">
              <w:rPr>
                <w:rFonts w:cstheme="minorHAnsi"/>
                <w:lang w:val="ru-RU"/>
              </w:rPr>
              <w:t>,</w:t>
            </w:r>
            <w:r w:rsidRPr="003554AE">
              <w:rPr>
                <w:rFonts w:cstheme="minorHAnsi"/>
                <w:lang w:val="sr-Cyrl-RS"/>
              </w:rPr>
              <w:t xml:space="preserve"> кратки програм, </w:t>
            </w:r>
            <w:r w:rsidRPr="003554AE">
              <w:rPr>
                <w:rFonts w:cstheme="minorHAnsi"/>
                <w:lang w:val="ru-RU"/>
              </w:rPr>
              <w:t xml:space="preserve"> економични програм (код кога се време прања продужава а штеди се вода, енергија и детерџенти), тихи програм, индивидуални -специјални програм (прилагођен захтевима корисника), програм за отклањање каменца, програм </w:t>
            </w:r>
            <w:r w:rsidRPr="003554AE">
              <w:rPr>
                <w:rFonts w:cstheme="minorHAnsi"/>
                <w:lang w:val="ru-RU"/>
              </w:rPr>
              <w:lastRenderedPageBreak/>
              <w:t xml:space="preserve">самопрања. </w:t>
            </w:r>
          </w:p>
          <w:p w14:paraId="6ECCC46F" w14:textId="77777777" w:rsidR="002D7FBC" w:rsidRDefault="002D7FBC" w:rsidP="002D7FBC">
            <w:pPr>
              <w:rPr>
                <w:rFonts w:cstheme="minorHAnsi"/>
                <w:lang w:val="ru-RU"/>
              </w:rPr>
            </w:pPr>
            <w:r w:rsidRPr="00BF3366">
              <w:rPr>
                <w:rFonts w:cstheme="minorHAnsi"/>
                <w:b/>
                <w:bCs/>
                <w:lang w:val="ru-RU"/>
              </w:rPr>
              <w:t>Температура воде</w:t>
            </w:r>
            <w:r w:rsidRPr="003554AE">
              <w:rPr>
                <w:rFonts w:cstheme="minorHAnsi"/>
                <w:lang w:val="ru-RU"/>
              </w:rPr>
              <w:t xml:space="preserve"> за  испирање  85°</w:t>
            </w:r>
            <w:r w:rsidRPr="003554AE">
              <w:rPr>
                <w:rFonts w:cstheme="minorHAnsi"/>
                <w:lang w:val="sr-Cyrl-RS"/>
              </w:rPr>
              <w:t>Ц</w:t>
            </w:r>
            <w:r w:rsidRPr="003554AE">
              <w:rPr>
                <w:rFonts w:cstheme="minorHAnsi"/>
                <w:lang w:val="ru-RU"/>
              </w:rPr>
              <w:t xml:space="preserve">. </w:t>
            </w:r>
          </w:p>
          <w:p w14:paraId="4098BDE0" w14:textId="77777777" w:rsidR="002D7FBC" w:rsidRDefault="002D7FBC" w:rsidP="002D7FBC">
            <w:pPr>
              <w:rPr>
                <w:rFonts w:cstheme="minorHAnsi"/>
                <w:lang w:val="ru-RU"/>
              </w:rPr>
            </w:pPr>
            <w:r w:rsidRPr="003554AE">
              <w:rPr>
                <w:rFonts w:cstheme="minorHAnsi"/>
                <w:lang w:val="ru-RU"/>
              </w:rPr>
              <w:t xml:space="preserve">Потребна количина воде по циклусу прања, стандардни програм макс. 2,2 литра, економични програм макс. 2 литра. </w:t>
            </w:r>
          </w:p>
          <w:p w14:paraId="3EB9156A" w14:textId="5D513453" w:rsidR="002D7FBC" w:rsidRPr="00CC015E" w:rsidRDefault="002D7FBC" w:rsidP="002D7FBC">
            <w:pPr>
              <w:rPr>
                <w:rFonts w:cstheme="minorHAnsi"/>
                <w:lang w:val="ru-RU"/>
              </w:rPr>
            </w:pPr>
            <w:r w:rsidRPr="003554AE">
              <w:rPr>
                <w:rFonts w:cstheme="minorHAnsi"/>
                <w:lang w:val="ru-RU"/>
              </w:rPr>
              <w:t>Жичана корпа за тањире 8-делана дим 500</w:t>
            </w:r>
            <w:r w:rsidRPr="003554AE">
              <w:rPr>
                <w:rFonts w:cstheme="minorHAnsi"/>
                <w:lang w:val="sr-Latn-RS"/>
              </w:rPr>
              <w:t>x</w:t>
            </w:r>
            <w:r w:rsidRPr="003554AE">
              <w:rPr>
                <w:rFonts w:cstheme="minorHAnsi"/>
                <w:lang w:val="ru-RU"/>
              </w:rPr>
              <w:t>500мм (1 ком), Жичана корпа равна дим 500</w:t>
            </w:r>
            <w:r w:rsidRPr="003554AE">
              <w:rPr>
                <w:rFonts w:cstheme="minorHAnsi"/>
              </w:rPr>
              <w:t>x</w:t>
            </w:r>
            <w:r w:rsidRPr="003554AE">
              <w:rPr>
                <w:rFonts w:cstheme="minorHAnsi"/>
                <w:lang w:val="ru-RU"/>
              </w:rPr>
              <w:t>500мм (1 ком)</w:t>
            </w:r>
            <w:r w:rsidRPr="003554AE">
              <w:rPr>
                <w:rFonts w:cstheme="minorHAnsi"/>
                <w:lang w:val="sr-Latn-RS"/>
              </w:rPr>
              <w:t xml:space="preserve">. </w:t>
            </w:r>
            <w:r w:rsidRPr="003554AE">
              <w:rPr>
                <w:rFonts w:cstheme="minorHAnsi"/>
                <w:lang w:val="ru-RU"/>
              </w:rPr>
              <w:t xml:space="preserve"> Уграђена функција дигиталног умрежавања путем </w:t>
            </w:r>
            <w:r w:rsidRPr="003554AE">
              <w:rPr>
                <w:rFonts w:cstheme="minorHAnsi"/>
              </w:rPr>
              <w:t>WLAN</w:t>
            </w:r>
            <w:r w:rsidRPr="003554AE">
              <w:rPr>
                <w:rFonts w:cstheme="minorHAnsi"/>
                <w:lang w:val="ru-RU"/>
              </w:rPr>
              <w:t>/</w:t>
            </w:r>
            <w:r w:rsidRPr="003554AE">
              <w:rPr>
                <w:rFonts w:cstheme="minorHAnsi"/>
              </w:rPr>
              <w:t>LAN</w:t>
            </w:r>
            <w:r w:rsidRPr="003554AE">
              <w:rPr>
                <w:rFonts w:cstheme="minorHAnsi"/>
                <w:lang w:val="ru-RU"/>
              </w:rPr>
              <w:t xml:space="preserve"> за аутоматски пренос оперативних података.</w:t>
            </w:r>
            <w:r w:rsidRPr="003554AE">
              <w:rPr>
                <w:rFonts w:cstheme="minorHAnsi"/>
                <w:lang w:val="sr-Cyrl-RS"/>
              </w:rPr>
              <w:t xml:space="preserve"> Танк који је увучен дубоко са хигијенским грејачем, два поља </w:t>
            </w:r>
            <w:r w:rsidRPr="003554AE">
              <w:rPr>
                <w:rFonts w:cstheme="minorHAnsi"/>
                <w:lang w:val="ru-RU"/>
              </w:rPr>
              <w:t xml:space="preserve">прања </w:t>
            </w:r>
            <w:r w:rsidRPr="003554AE">
              <w:rPr>
                <w:rFonts w:cstheme="minorHAnsi"/>
                <w:lang w:val="sr-Cyrl-RS"/>
              </w:rPr>
              <w:t xml:space="preserve">који се могу скинути притиском на дугме, једном руком, </w:t>
            </w:r>
            <w:r w:rsidRPr="003554AE">
              <w:rPr>
                <w:rFonts w:cstheme="minorHAnsi"/>
                <w:lang w:val="ru-RU"/>
              </w:rPr>
              <w:t xml:space="preserve">који аутоматски регулише притисак прања у машини </w:t>
            </w:r>
            <w:r w:rsidRPr="003554AE">
              <w:rPr>
                <w:rFonts w:cstheme="minorHAnsi"/>
                <w:lang w:val="sr-Cyrl-RS"/>
              </w:rPr>
              <w:t>у зависности од изабраног програма</w:t>
            </w:r>
            <w:r w:rsidRPr="003554AE">
              <w:rPr>
                <w:rFonts w:cstheme="minorHAnsi"/>
                <w:lang w:val="ru-RU"/>
              </w:rPr>
              <w:t>, мин.четвороструки систем филтрирања са сензором за</w:t>
            </w:r>
            <w:r w:rsidRPr="003554AE">
              <w:rPr>
                <w:rFonts w:cstheme="minorHAnsi"/>
                <w:lang w:val="sr-Cyrl-RS"/>
              </w:rPr>
              <w:t>мућености воде</w:t>
            </w:r>
            <w:r w:rsidRPr="003554AE">
              <w:rPr>
                <w:rFonts w:cstheme="minorHAnsi"/>
                <w:lang w:val="ru-RU"/>
              </w:rPr>
              <w:t xml:space="preserve">,  уграђене посуде и дозатори за средство прања и средство испирања, уграђен систем машине са екраном на додир, </w:t>
            </w:r>
            <w:r w:rsidRPr="003554AE">
              <w:rPr>
                <w:rFonts w:cstheme="minorHAnsi"/>
                <w:lang w:val="sr-Cyrl-RS"/>
              </w:rPr>
              <w:t>са избором програма, приказом напредовања циклуса и кратким видео упутством, пиктограмима и порукама о грешкама</w:t>
            </w:r>
            <w:r w:rsidRPr="003554AE">
              <w:rPr>
                <w:rFonts w:cstheme="minorHAnsi"/>
                <w:lang w:val="sr-Latn-RS"/>
              </w:rPr>
              <w:t xml:space="preserve"> </w:t>
            </w:r>
            <w:r w:rsidRPr="003554AE">
              <w:rPr>
                <w:rFonts w:cstheme="minorHAnsi"/>
                <w:lang w:val="sr-Cyrl-RS"/>
              </w:rPr>
              <w:t>(може се користити и са рукавицама).</w:t>
            </w:r>
            <w:r w:rsidRPr="003554AE">
              <w:rPr>
                <w:rFonts w:cstheme="minorHAnsi"/>
                <w:lang w:val="sr-Latn-RS"/>
              </w:rPr>
              <w:t xml:space="preserve"> </w:t>
            </w:r>
            <w:r w:rsidRPr="00CC015E">
              <w:rPr>
                <w:rFonts w:cstheme="minorHAnsi"/>
                <w:lang w:val="ru-RU"/>
              </w:rPr>
              <w:t>Произвођач машине мора имати сертификовану област за истраживање и развој, пројектовање, производњу и сервисирање комерцијалних машина система за прање посуђа. Нормативна основа: ИСО 9001:2015 или одговарајући, ИСО 14001:2015 или одговарајући, ИСО 45001:2018 или одговарајући</w:t>
            </w:r>
            <w:r w:rsidR="0011674D">
              <w:rPr>
                <w:rFonts w:cstheme="minorHAnsi"/>
                <w:lang w:val="sr-Cyrl-RS"/>
              </w:rPr>
              <w:t>.</w:t>
            </w:r>
            <w:r w:rsidRPr="00CC015E">
              <w:rPr>
                <w:rFonts w:cstheme="minorHAnsi"/>
                <w:lang w:val="ru-RU"/>
              </w:rPr>
              <w:t xml:space="preserve"> Понуђа</w:t>
            </w:r>
            <w:r w:rsidRPr="00CC015E">
              <w:rPr>
                <w:rFonts w:cstheme="minorHAnsi"/>
                <w:lang w:val="sr-Cyrl-RS"/>
              </w:rPr>
              <w:t>ч</w:t>
            </w:r>
            <w:r w:rsidRPr="00CC015E">
              <w:rPr>
                <w:rFonts w:cstheme="minorHAnsi"/>
                <w:lang w:val="ru-RU"/>
              </w:rPr>
              <w:t xml:space="preserve"> треба да достави резултат тестирања, који потврђује да понуђена машина испуњава одредбе према ДИН СПЕЦ 10534 према коме се гарантује дозвољена редукција клица од &gt;5 децимала,  ЦЕ сертификат или одговарајући.</w:t>
            </w:r>
          </w:p>
          <w:p w14:paraId="1DD914B1" w14:textId="77777777" w:rsidR="002D7FBC" w:rsidRDefault="002D7FBC" w:rsidP="002D7FBC">
            <w:pPr>
              <w:widowControl/>
              <w:suppressAutoHyphens w:val="0"/>
            </w:pPr>
          </w:p>
          <w:p w14:paraId="2BFB7F47" w14:textId="77777777" w:rsidR="00E93514" w:rsidRPr="003554AE" w:rsidRDefault="00E93514" w:rsidP="00E93514">
            <w:pPr>
              <w:rPr>
                <w:rFonts w:cstheme="minorHAnsi"/>
                <w:lang w:val="ru-RU"/>
              </w:rPr>
            </w:pPr>
            <w:r w:rsidRPr="003554AE">
              <w:rPr>
                <w:rFonts w:cstheme="minorHAnsi"/>
                <w:lang w:val="ru-RU"/>
              </w:rPr>
              <w:t>ОМЕКШИВАЧ ВОДЕ –  интелигентна аутоматика која покреће процес регенерације улошка у зависности од стварне и прогнозиране потрошње воде – увек за време најниже потрошње; Сразмерна регенерација јоноизмјењивачког улошка (зависно од степена потрошње); Робусна конструкција главе је отпорна на велика одступања хидрауличког притиска и лошији квалитет воде из мреже (нпр. висок ниво механичких нечистоћа, гвожђе, итд.); Дигитални панел са ЛЦД екраном; Константна контрола параметара рада јединице; Константан приказ протока пречишћене воде; Израда – резервоар са улошком од стаклених влакана, резервоар за со и поклопац од пластике, капацитет протока (мин 1,4 до макс. 8 бара улазног притиска)  оптимално 18 лит/мин до 23 лит/мин, Температура дотока макс. 49°Ц, Начин рада</w:t>
            </w:r>
            <w:r w:rsidRPr="003554AE">
              <w:rPr>
                <w:rFonts w:cstheme="minorHAnsi"/>
                <w:lang w:val="ru-RU"/>
              </w:rPr>
              <w:tab/>
              <w:t>- аутоматска регенерација покретана преко електронског контролера са напајањем струје 230В</w:t>
            </w:r>
          </w:p>
          <w:p w14:paraId="6E7F222C" w14:textId="77777777" w:rsidR="00E93514" w:rsidRPr="00A51BF0" w:rsidRDefault="00E93514" w:rsidP="002D7FBC">
            <w:pPr>
              <w:widowControl/>
              <w:suppressAutoHyphens w:val="0"/>
            </w:pPr>
          </w:p>
        </w:tc>
      </w:tr>
      <w:tr w:rsidR="005E6968" w:rsidRPr="00AA16C1" w14:paraId="57174944" w14:textId="77777777" w:rsidTr="00E138E7">
        <w:trPr>
          <w:gridAfter w:val="1"/>
          <w:wAfter w:w="78" w:type="dxa"/>
          <w:trHeight w:val="4668"/>
        </w:trPr>
        <w:tc>
          <w:tcPr>
            <w:tcW w:w="567" w:type="dxa"/>
          </w:tcPr>
          <w:p w14:paraId="55E2BCBF" w14:textId="77777777" w:rsidR="005E6968" w:rsidRPr="002A14E3" w:rsidRDefault="005E6968" w:rsidP="003405DD">
            <w:pPr>
              <w:pStyle w:val="ListParagraph"/>
              <w:numPr>
                <w:ilvl w:val="0"/>
                <w:numId w:val="1"/>
              </w:numPr>
              <w:suppressLineNumbers/>
              <w:snapToGrid w:val="0"/>
              <w:ind w:left="357" w:hanging="357"/>
              <w:jc w:val="center"/>
              <w:rPr>
                <w:rFonts w:eastAsia="Times New Roman" w:cs="YuHelvetica"/>
                <w:b/>
                <w:bCs/>
                <w:lang w:val="ru-RU"/>
              </w:rPr>
            </w:pPr>
          </w:p>
        </w:tc>
        <w:tc>
          <w:tcPr>
            <w:tcW w:w="1701" w:type="dxa"/>
          </w:tcPr>
          <w:p w14:paraId="66CABD6F" w14:textId="77777777" w:rsidR="005E6968" w:rsidRDefault="005E6968" w:rsidP="003405DD">
            <w:pPr>
              <w:rPr>
                <w:rFonts w:eastAsia="Calibri"/>
                <w:b/>
              </w:rPr>
            </w:pPr>
          </w:p>
          <w:p w14:paraId="3DF94AA0" w14:textId="4AE596C9" w:rsidR="005E6968" w:rsidRPr="005E6968" w:rsidRDefault="005E6968" w:rsidP="003405DD">
            <w:pPr>
              <w:rPr>
                <w:rFonts w:eastAsia="Calibri"/>
                <w:b/>
                <w:lang w:val="sr-Cyrl-RS"/>
              </w:rPr>
            </w:pPr>
            <w:r>
              <w:rPr>
                <w:rFonts w:eastAsia="Calibri"/>
                <w:b/>
                <w:lang w:val="sr-Cyrl-RS"/>
              </w:rPr>
              <w:t>Електрични казан 150лит. Са округлом посудом</w:t>
            </w:r>
          </w:p>
          <w:p w14:paraId="57504CC6" w14:textId="77777777" w:rsidR="005E6968" w:rsidRDefault="005E6968" w:rsidP="003405DD">
            <w:pPr>
              <w:rPr>
                <w:rFonts w:eastAsia="Calibri"/>
                <w:b/>
              </w:rPr>
            </w:pPr>
          </w:p>
          <w:p w14:paraId="56CC8E58" w14:textId="77777777" w:rsidR="005E6968" w:rsidRDefault="005E6968" w:rsidP="003405DD">
            <w:pPr>
              <w:rPr>
                <w:rFonts w:eastAsia="Calibri"/>
                <w:b/>
              </w:rPr>
            </w:pPr>
          </w:p>
          <w:p w14:paraId="715C97DB" w14:textId="77777777" w:rsidR="005E6968" w:rsidRDefault="005E6968" w:rsidP="003405DD">
            <w:pPr>
              <w:rPr>
                <w:rFonts w:eastAsia="Calibri"/>
                <w:b/>
              </w:rPr>
            </w:pPr>
          </w:p>
          <w:p w14:paraId="766FE1EC" w14:textId="77777777" w:rsidR="005E6968" w:rsidRDefault="005E6968" w:rsidP="003405DD">
            <w:pPr>
              <w:rPr>
                <w:rFonts w:eastAsia="Calibri"/>
                <w:b/>
              </w:rPr>
            </w:pPr>
          </w:p>
        </w:tc>
        <w:tc>
          <w:tcPr>
            <w:tcW w:w="709" w:type="dxa"/>
          </w:tcPr>
          <w:p w14:paraId="10AC3DD7" w14:textId="77777777" w:rsidR="005E6968" w:rsidRDefault="005E6968" w:rsidP="003405DD">
            <w:pPr>
              <w:jc w:val="center"/>
              <w:rPr>
                <w:lang w:val="sr-Cyrl-CS"/>
              </w:rPr>
            </w:pPr>
          </w:p>
          <w:p w14:paraId="6B478B05" w14:textId="77777777" w:rsidR="005E6968" w:rsidRDefault="005E6968" w:rsidP="003405DD">
            <w:pPr>
              <w:jc w:val="center"/>
              <w:rPr>
                <w:lang w:val="sr-Cyrl-CS"/>
              </w:rPr>
            </w:pPr>
          </w:p>
          <w:p w14:paraId="3D3B0236" w14:textId="46EABD85" w:rsidR="005E6968" w:rsidRPr="005E6968" w:rsidRDefault="005E6968" w:rsidP="003405DD">
            <w:pPr>
              <w:jc w:val="center"/>
              <w:rPr>
                <w:lang w:val="sr-Cyrl-RS"/>
              </w:rPr>
            </w:pPr>
            <w:r>
              <w:rPr>
                <w:lang w:val="sr-Cyrl-RS"/>
              </w:rPr>
              <w:t xml:space="preserve">ком </w:t>
            </w:r>
          </w:p>
        </w:tc>
        <w:tc>
          <w:tcPr>
            <w:tcW w:w="851" w:type="dxa"/>
          </w:tcPr>
          <w:p w14:paraId="790DB2E1" w14:textId="77777777" w:rsidR="005E6968" w:rsidRDefault="005E6968" w:rsidP="003405DD">
            <w:pPr>
              <w:jc w:val="center"/>
            </w:pPr>
          </w:p>
          <w:p w14:paraId="5EDD5F20" w14:textId="77777777" w:rsidR="005E6968" w:rsidRDefault="005E6968" w:rsidP="003405DD">
            <w:pPr>
              <w:jc w:val="center"/>
            </w:pPr>
          </w:p>
          <w:p w14:paraId="1BD0A59D" w14:textId="556B8216" w:rsidR="005E6968" w:rsidRPr="005E6968" w:rsidRDefault="005E6968" w:rsidP="005E6968">
            <w:pPr>
              <w:rPr>
                <w:lang w:val="sr-Cyrl-RS"/>
              </w:rPr>
            </w:pPr>
            <w:r>
              <w:rPr>
                <w:lang w:val="sr-Cyrl-RS"/>
              </w:rPr>
              <w:t>1</w:t>
            </w:r>
          </w:p>
        </w:tc>
        <w:tc>
          <w:tcPr>
            <w:tcW w:w="6917" w:type="dxa"/>
          </w:tcPr>
          <w:p w14:paraId="7F161F58" w14:textId="0A77B140" w:rsidR="005E6968" w:rsidRPr="005E6968" w:rsidRDefault="005E6968" w:rsidP="005E6968">
            <w:pPr>
              <w:widowControl/>
              <w:suppressAutoHyphens w:val="0"/>
              <w:spacing w:after="160" w:line="259" w:lineRule="auto"/>
              <w:rPr>
                <w:rFonts w:eastAsiaTheme="minorHAnsi"/>
                <w:kern w:val="2"/>
                <w:shd w:val="clear" w:color="auto" w:fill="FFFFFF"/>
                <w:lang w:val="sr-Latn-RS"/>
                <w14:ligatures w14:val="standardContextual"/>
              </w:rPr>
            </w:pPr>
            <w:r w:rsidRPr="005E6968">
              <w:rPr>
                <w:rFonts w:eastAsiaTheme="minorHAnsi"/>
                <w:kern w:val="2"/>
                <w:shd w:val="clear" w:color="auto" w:fill="F5F8F0"/>
                <w:lang w:val="sr-Latn-RS"/>
                <w14:ligatures w14:val="standardContextual"/>
              </w:rPr>
              <w:t>&gt; </w:t>
            </w:r>
            <w:r w:rsidRPr="005E6968">
              <w:rPr>
                <w:rFonts w:eastAsiaTheme="minorHAnsi"/>
                <w:kern w:val="2"/>
                <w:shd w:val="clear" w:color="auto" w:fill="FCFCFC"/>
                <w:lang w:val="sr-Latn-RS"/>
                <w14:ligatures w14:val="standardContextual"/>
              </w:rPr>
              <w:t>дим. уређаја: 800/900/900 mm. Тежина: 113 кг.</w:t>
            </w:r>
            <w:r w:rsidRPr="005E6968">
              <w:rPr>
                <w:rFonts w:eastAsiaTheme="minorHAnsi"/>
                <w:kern w:val="2"/>
                <w:shd w:val="clear" w:color="auto" w:fill="FCFCFC"/>
                <w:lang w:val="sr-Latn-RS"/>
                <w14:ligatures w14:val="standardContextual"/>
              </w:rPr>
              <w:br/>
            </w:r>
            <w:r w:rsidRPr="005E6968">
              <w:rPr>
                <w:rFonts w:eastAsiaTheme="minorHAnsi"/>
                <w:kern w:val="2"/>
                <w:shd w:val="clear" w:color="auto" w:fill="F5F8F0"/>
                <w:lang w:val="sr-Latn-RS"/>
                <w14:ligatures w14:val="standardContextual"/>
              </w:rPr>
              <w:t>&gt; </w:t>
            </w:r>
            <w:r w:rsidRPr="005E6968">
              <w:rPr>
                <w:rFonts w:eastAsiaTheme="minorHAnsi"/>
                <w:kern w:val="2"/>
                <w:shd w:val="clear" w:color="auto" w:fill="FCFCFC"/>
                <w:lang w:val="sr-Latn-RS"/>
                <w14:ligatures w14:val="standardContextual"/>
              </w:rPr>
              <w:t>дим. посуде: фи. 600x600 mm.</w:t>
            </w:r>
            <w:r w:rsidRPr="005E6968">
              <w:rPr>
                <w:rFonts w:eastAsiaTheme="minorHAnsi"/>
                <w:kern w:val="2"/>
                <w:shd w:val="clear" w:color="auto" w:fill="FCFCFC"/>
                <w:lang w:val="sr-Latn-RS"/>
                <w14:ligatures w14:val="standardContextual"/>
              </w:rPr>
              <w:br/>
            </w:r>
            <w:r w:rsidRPr="005E6968">
              <w:rPr>
                <w:rFonts w:eastAsiaTheme="minorHAnsi"/>
                <w:kern w:val="2"/>
                <w:shd w:val="clear" w:color="auto" w:fill="F5F8F0"/>
                <w:lang w:val="sr-Latn-RS"/>
                <w14:ligatures w14:val="standardContextual"/>
              </w:rPr>
              <w:t>&gt; </w:t>
            </w:r>
            <w:r w:rsidRPr="005E6968">
              <w:rPr>
                <w:rFonts w:eastAsiaTheme="minorHAnsi"/>
                <w:kern w:val="2"/>
                <w:shd w:val="clear" w:color="auto" w:fill="FCFCFC"/>
                <w:lang w:val="sr-Latn-RS"/>
                <w14:ligatures w14:val="standardContextual"/>
              </w:rPr>
              <w:t>прикључна снага: 18,6 kW; прикључни напон: 400В 3Н АЦ</w:t>
            </w:r>
            <w:r w:rsidRPr="005E6968">
              <w:rPr>
                <w:rFonts w:eastAsiaTheme="minorHAnsi"/>
                <w:kern w:val="2"/>
                <w:shd w:val="clear" w:color="auto" w:fill="FCFCFC"/>
                <w:lang w:val="sr-Latn-RS"/>
                <w14:ligatures w14:val="standardContextual"/>
              </w:rPr>
              <w:br/>
            </w:r>
            <w:r w:rsidRPr="005E6968">
              <w:rPr>
                <w:rFonts w:eastAsiaTheme="minorHAnsi"/>
                <w:kern w:val="2"/>
                <w:shd w:val="clear" w:color="auto" w:fill="F5F8F0"/>
                <w:lang w:val="sr-Latn-RS"/>
                <w14:ligatures w14:val="standardContextual"/>
              </w:rPr>
              <w:t>&gt; </w:t>
            </w:r>
            <w:r w:rsidRPr="005E6968">
              <w:rPr>
                <w:rFonts w:eastAsiaTheme="minorHAnsi"/>
                <w:kern w:val="2"/>
                <w:shd w:val="clear" w:color="auto" w:fill="FCFCFC"/>
                <w:lang w:val="sr-Latn-RS"/>
                <w14:ligatures w14:val="standardContextual"/>
              </w:rPr>
              <w:t xml:space="preserve">* индиректно грејање;  </w:t>
            </w:r>
            <w:r w:rsidRPr="005E6968">
              <w:rPr>
                <w:rFonts w:eastAsiaTheme="minorHAnsi"/>
                <w:color w:val="000000"/>
                <w:kern w:val="2"/>
                <w:shd w:val="clear" w:color="auto" w:fill="FCFCFC"/>
                <w:lang w:val="sr-Latn-RS"/>
                <w14:ligatures w14:val="standardContextual"/>
              </w:rPr>
              <w:t>Кућиште уређаја-подконструкција и горња радна површина дебљине 60,00 mm. са радијусом Р=8 mm, израђена од нерђајућег лима АiSi304; дебљина радне плоче 1,5 mm. на бочним странама радне плоче, отвори за фиксирање хигијенске откапне ал-заштитне лајсне; горња радна површина са удубљењима за сакупљање и одвод проливених течности; унутрашња посуда и поклопац израђени од нерђајућег лима АиСи304. Поклопац казана уравнотежен опругом и причвршћен на кућишту са шаркама. Дно посуде израђено од нерђајућег челика АiSi316Ти отпорног на соли.  Дебљина употребљених материјала за израду: горње површине казана 1,50 mm. са Scotch Brite површином, зидови посуде казана и дно казана дебљине 2,00 mm. Дугме за укључење и регулацију температуре, са кућиштем-постељицом, које спречева продор просутих течности према прекидачима и унутрашњој инсталацији. Надпритисак у дупликатору (ДО 0,5 bar), регулисан сигурносном арматуром са манометром. Пуњење дупликатора помоћу дворучне мешајуће батерије, кроз посебан отвор са поклопцем, спрегнут са сигурносном арматуром. Испустни вентил-конусни, са навојем 2'', израђен од месинга, са  хром заштитним слојем. На предњој страни уређаја, лептир славина за контролу нивоа воде у дупликатору. Штелујуће ногице-подесиве по висини. На радној површини казана, поред поклопца, дворучна  батерија за довод топле/хладне воде у посуду за припрему хране. Казан је са уграђеним сигурносним сувим грејачем, који у случају недовољне количине воде у дупликатору, искључује рад главних грејача. Казан је са уграђеним сигурносним термостататима, који искључе струјни ток, уколико радни термостат са прекидачем не искључи рад грејача на 120 C.  На командној табли уграђен прекидач за укључење функције full power-rad свих грејача ради постизања брзог врења садржаја кувања; Приступ до сигурносних термостата, могућ само уз употребу фабричких алата од стране овлашћених сервисера. Казан је са црвеном контролном лампицом која упозорава на недовољну количину воде у дупликатору и са жутом сигналном лампицом која показује рад-укљученост грејача;  </w:t>
            </w:r>
          </w:p>
          <w:p w14:paraId="0EBD6D68" w14:textId="77777777" w:rsidR="005E6968" w:rsidRPr="005E6968" w:rsidRDefault="005E6968" w:rsidP="005E6968">
            <w:pPr>
              <w:widowControl/>
              <w:suppressAutoHyphens w:val="0"/>
              <w:spacing w:after="160" w:line="259" w:lineRule="auto"/>
              <w:rPr>
                <w:rFonts w:ascii="KovCenik" w:eastAsiaTheme="minorHAnsi" w:hAnsi="KovCenik" w:cstheme="minorBidi"/>
                <w:kern w:val="2"/>
                <w:sz w:val="18"/>
                <w:szCs w:val="18"/>
                <w:shd w:val="clear" w:color="auto" w:fill="FFFFFF"/>
                <w:lang w:val="sr-Latn-RS"/>
                <w14:ligatures w14:val="standardContextual"/>
              </w:rPr>
            </w:pPr>
          </w:p>
          <w:p w14:paraId="2E6E4344" w14:textId="77777777" w:rsidR="005E6968" w:rsidRPr="003554AE" w:rsidRDefault="005E6968" w:rsidP="002D7FBC">
            <w:pPr>
              <w:rPr>
                <w:rFonts w:cstheme="minorHAnsi"/>
                <w:lang w:val="ru-RU"/>
              </w:rPr>
            </w:pPr>
          </w:p>
        </w:tc>
      </w:tr>
    </w:tbl>
    <w:p w14:paraId="52A2F028" w14:textId="77777777" w:rsidR="002D7FBC" w:rsidRDefault="002D7FBC" w:rsidP="002D7FBC">
      <w:pPr>
        <w:jc w:val="both"/>
        <w:rPr>
          <w:b/>
          <w:iCs/>
        </w:rPr>
      </w:pPr>
    </w:p>
    <w:p w14:paraId="4FE40C31" w14:textId="670D6221" w:rsidR="002D7FBC" w:rsidRDefault="002D7FBC" w:rsidP="002D7FBC">
      <w:pPr>
        <w:widowControl/>
        <w:suppressAutoHyphens w:val="0"/>
        <w:autoSpaceDE w:val="0"/>
        <w:autoSpaceDN w:val="0"/>
        <w:adjustRightInd w:val="0"/>
        <w:jc w:val="both"/>
        <w:rPr>
          <w:b/>
          <w:iCs/>
        </w:rPr>
      </w:pPr>
      <w:r w:rsidRPr="009D0333">
        <w:rPr>
          <w:rFonts w:eastAsia="Times New Roman"/>
          <w:b/>
          <w:color w:val="000000"/>
          <w:kern w:val="1"/>
          <w:lang w:val="ru-RU" w:eastAsia="ar-SA"/>
        </w:rPr>
        <w:t>Рок плаћања:</w:t>
      </w:r>
      <w:r w:rsidRPr="009D0333">
        <w:rPr>
          <w:rFonts w:eastAsia="Times New Roman"/>
          <w:color w:val="000000"/>
          <w:kern w:val="1"/>
          <w:lang w:val="ru-RU" w:eastAsia="ar-SA"/>
        </w:rPr>
        <w:t xml:space="preserve"> </w:t>
      </w:r>
      <w:r w:rsidRPr="009D0333">
        <w:rPr>
          <w:rFonts w:eastAsia="Arial"/>
          <w:color w:val="000000"/>
          <w:kern w:val="1"/>
          <w:lang w:val="sr-Cyrl-CS" w:eastAsia="ar-SA"/>
        </w:rPr>
        <w:t>Плаћање може бити одложено, а најдуже</w:t>
      </w:r>
      <w:r w:rsidRPr="009D0333">
        <w:rPr>
          <w:rFonts w:eastAsia="Times New Roman" w:cs="YuHelvetica"/>
          <w:kern w:val="1"/>
          <w:lang w:val="ru-RU" w:eastAsia="ar-SA"/>
        </w:rPr>
        <w:t xml:space="preserve"> 45</w:t>
      </w:r>
      <w:r>
        <w:rPr>
          <w:rFonts w:eastAsia="Times New Roman" w:cs="YuHelvetica"/>
          <w:kern w:val="1"/>
          <w:lang w:eastAsia="ar-SA"/>
        </w:rPr>
        <w:t xml:space="preserve"> </w:t>
      </w:r>
      <w:r w:rsidRPr="009D0333">
        <w:rPr>
          <w:rFonts w:eastAsia="Times New Roman" w:cs="YuHelvetica"/>
          <w:kern w:val="1"/>
          <w:lang w:val="ru-RU" w:eastAsia="ar-SA"/>
        </w:rPr>
        <w:t xml:space="preserve">(четрдесетпет) дана од дана, пријема потписане и оверене фактуре од стране Продавца </w:t>
      </w:r>
      <w:r w:rsidRPr="009D0333">
        <w:rPr>
          <w:rFonts w:eastAsia="Times New Roman" w:cs="YuHelvetica"/>
          <w:kern w:val="1"/>
          <w:lang w:val="sr-Cyrl-CS" w:eastAsia="ar-SA"/>
        </w:rPr>
        <w:t xml:space="preserve">(у складу са Законом о роковима измирења новчаних обавеза у комерцијалним трансакцијама </w:t>
      </w:r>
      <w:r w:rsidRPr="009D0333">
        <w:rPr>
          <w:rFonts w:eastAsia="Times New Roman" w:cs="YuHelvetica"/>
          <w:kern w:val="1"/>
          <w:lang w:val="ru-RU" w:eastAsia="ar-SA"/>
        </w:rPr>
        <w:t>"Сл.гласник РС", бр. 119/2012</w:t>
      </w:r>
      <w:r>
        <w:rPr>
          <w:rFonts w:eastAsia="Times New Roman" w:cs="YuHelvetica"/>
          <w:kern w:val="1"/>
          <w:lang w:eastAsia="ar-SA"/>
        </w:rPr>
        <w:t>,</w:t>
      </w:r>
      <w:r w:rsidRPr="009D0333">
        <w:rPr>
          <w:rFonts w:eastAsia="Times New Roman" w:cs="YuHelvetica"/>
          <w:kern w:val="1"/>
          <w:lang w:val="ru-RU" w:eastAsia="ar-SA"/>
        </w:rPr>
        <w:t xml:space="preserve"> 68/2015</w:t>
      </w:r>
      <w:r>
        <w:rPr>
          <w:rFonts w:eastAsia="Times New Roman" w:cs="YuHelvetica"/>
          <w:kern w:val="1"/>
          <w:lang w:eastAsia="ar-SA"/>
        </w:rPr>
        <w:t xml:space="preserve">, </w:t>
      </w:r>
      <w:r w:rsidRPr="00B26D60">
        <w:rPr>
          <w:iCs/>
        </w:rPr>
        <w:t>113/17, 91/19 и 44</w:t>
      </w:r>
      <w:r>
        <w:rPr>
          <w:iCs/>
          <w:lang w:val="ru-RU"/>
        </w:rPr>
        <w:t>/21</w:t>
      </w:r>
      <w:r w:rsidR="005E6968">
        <w:rPr>
          <w:iCs/>
          <w:lang w:val="sr-Cyrl-RS"/>
        </w:rPr>
        <w:t>, 129/21-др.закон и 138/22</w:t>
      </w:r>
      <w:r w:rsidRPr="009D0333">
        <w:rPr>
          <w:rFonts w:eastAsia="Times New Roman" w:cs="YuHelvetica"/>
          <w:kern w:val="1"/>
          <w:lang w:val="ru-RU" w:eastAsia="ar-SA"/>
        </w:rPr>
        <w:t>). У</w:t>
      </w:r>
      <w:r w:rsidRPr="009D0333">
        <w:rPr>
          <w:rFonts w:eastAsia="Times New Roman" w:cs="YuHelvetica"/>
          <w:bCs/>
          <w:kern w:val="1"/>
          <w:lang w:val="ru-RU"/>
        </w:rPr>
        <w:t>з фактуру се обавезно мора прилажити копија Наруџбенице</w:t>
      </w:r>
      <w:r w:rsidRPr="009D0333">
        <w:rPr>
          <w:rFonts w:ascii="TimesNewRomanPS-BoldMT" w:eastAsia="Times New Roman" w:hAnsi="TimesNewRomanPS-BoldMT" w:cs="TimesNewRomanPS-BoldMT"/>
          <w:b/>
          <w:bCs/>
          <w:kern w:val="1"/>
          <w:lang w:val="ru-RU"/>
        </w:rPr>
        <w:t xml:space="preserve">. </w:t>
      </w:r>
      <w:r w:rsidRPr="009D0333">
        <w:rPr>
          <w:rFonts w:eastAsia="Times New Roman" w:cs="YuHelvetica"/>
          <w:bCs/>
          <w:iCs/>
          <w:color w:val="000000"/>
          <w:kern w:val="1"/>
          <w:lang w:val="sr-Cyrl-CS" w:eastAsia="ar-SA"/>
        </w:rPr>
        <w:t xml:space="preserve">Понуђачу </w:t>
      </w:r>
      <w:r>
        <w:rPr>
          <w:rFonts w:eastAsia="Times New Roman" w:cs="YuHelvetica"/>
          <w:bCs/>
          <w:iCs/>
          <w:color w:val="000000"/>
          <w:kern w:val="1"/>
          <w:lang w:eastAsia="ar-SA"/>
        </w:rPr>
        <w:t>ни</w:t>
      </w:r>
      <w:r w:rsidRPr="009D0333">
        <w:rPr>
          <w:rFonts w:eastAsia="Times New Roman" w:cs="YuHelvetica"/>
          <w:bCs/>
          <w:iCs/>
          <w:color w:val="000000"/>
          <w:kern w:val="1"/>
          <w:lang w:val="sr-Cyrl-CS" w:eastAsia="ar-SA"/>
        </w:rPr>
        <w:t>је дозвољено да захтева аванс.</w:t>
      </w:r>
    </w:p>
    <w:p w14:paraId="7AB48F96" w14:textId="77777777" w:rsidR="002D7FBC" w:rsidRDefault="002D7FBC" w:rsidP="002D7FBC">
      <w:pPr>
        <w:jc w:val="both"/>
        <w:rPr>
          <w:b/>
          <w:iCs/>
        </w:rPr>
      </w:pPr>
    </w:p>
    <w:p w14:paraId="7BF55AE2" w14:textId="3512EE18" w:rsidR="002D7FBC" w:rsidRPr="009D0333" w:rsidRDefault="002D7FBC" w:rsidP="002D7FBC">
      <w:pPr>
        <w:widowControl/>
        <w:jc w:val="both"/>
        <w:rPr>
          <w:rFonts w:eastAsia="Arial"/>
          <w:color w:val="000000"/>
          <w:kern w:val="1"/>
          <w:lang w:val="sr-Latn-CS" w:eastAsia="ar-SA"/>
        </w:rPr>
      </w:pPr>
      <w:r w:rsidRPr="009D0333">
        <w:rPr>
          <w:rFonts w:eastAsia="Arial"/>
          <w:b/>
          <w:color w:val="000000"/>
          <w:kern w:val="1"/>
          <w:lang w:val="ru-RU" w:eastAsia="ar-SA"/>
        </w:rPr>
        <w:t>Рок ис</w:t>
      </w:r>
      <w:r w:rsidRPr="009D0333">
        <w:rPr>
          <w:rFonts w:eastAsia="Arial"/>
          <w:b/>
          <w:color w:val="000000"/>
          <w:kern w:val="1"/>
          <w:lang w:val="sr-Cyrl-CS" w:eastAsia="ar-SA"/>
        </w:rPr>
        <w:t>поруке</w:t>
      </w:r>
      <w:r w:rsidRPr="009D0333">
        <w:rPr>
          <w:rFonts w:eastAsia="Arial"/>
          <w:b/>
          <w:color w:val="000000"/>
          <w:kern w:val="1"/>
          <w:lang w:val="sr-Latn-CS" w:eastAsia="ar-SA"/>
        </w:rPr>
        <w:t xml:space="preserve">: </w:t>
      </w:r>
      <w:r w:rsidRPr="001B33B5">
        <w:rPr>
          <w:rFonts w:eastAsia="Arial"/>
          <w:color w:val="000000" w:themeColor="text1"/>
          <w:kern w:val="1"/>
          <w:lang w:val="sr-Latn-CS" w:eastAsia="ar-SA"/>
        </w:rPr>
        <w:t xml:space="preserve">најдуже </w:t>
      </w:r>
      <w:r w:rsidR="00E93514">
        <w:rPr>
          <w:rFonts w:eastAsia="Arial"/>
          <w:b/>
          <w:color w:val="000000" w:themeColor="text1"/>
          <w:kern w:val="1"/>
          <w:lang w:val="sr-Cyrl-RS" w:eastAsia="ar-SA"/>
        </w:rPr>
        <w:t>10</w:t>
      </w:r>
      <w:r w:rsidRPr="001B33B5">
        <w:rPr>
          <w:rFonts w:eastAsia="Arial"/>
          <w:b/>
          <w:color w:val="000000" w:themeColor="text1"/>
          <w:kern w:val="1"/>
          <w:lang w:val="sr-Cyrl-CS" w:eastAsia="ar-SA"/>
        </w:rPr>
        <w:t xml:space="preserve"> дана</w:t>
      </w:r>
      <w:r w:rsidRPr="009D0333">
        <w:rPr>
          <w:rFonts w:eastAsia="Arial"/>
          <w:color w:val="000000"/>
          <w:kern w:val="1"/>
          <w:lang w:val="sr-Cyrl-CS" w:eastAsia="ar-SA"/>
        </w:rPr>
        <w:t xml:space="preserve"> </w:t>
      </w:r>
      <w:r w:rsidRPr="009D0333">
        <w:rPr>
          <w:rFonts w:eastAsia="Arial" w:cs="YuHelvetica"/>
          <w:color w:val="000000"/>
          <w:kern w:val="1"/>
          <w:lang w:val="sr-Cyrl-CS" w:eastAsia="ar-SA"/>
        </w:rPr>
        <w:t>од тренутка пријема поруџбине</w:t>
      </w:r>
      <w:r>
        <w:rPr>
          <w:rFonts w:eastAsia="Arial" w:cs="YuHelvetica"/>
          <w:color w:val="000000"/>
          <w:kern w:val="1"/>
          <w:lang w:val="sr-Cyrl-CS" w:eastAsia="ar-SA"/>
        </w:rPr>
        <w:t>,</w:t>
      </w:r>
      <w:r w:rsidRPr="009D0333">
        <w:rPr>
          <w:rFonts w:eastAsia="Arial" w:cs="YuHelvetica"/>
          <w:color w:val="000000"/>
          <w:kern w:val="1"/>
          <w:lang w:val="sr-Latn-CS" w:eastAsia="ar-SA"/>
        </w:rPr>
        <w:t xml:space="preserve"> </w:t>
      </w:r>
      <w:r w:rsidRPr="009D0333">
        <w:rPr>
          <w:rFonts w:eastAsia="Arial" w:cs="YuHelvetica"/>
          <w:color w:val="000000"/>
          <w:kern w:val="1"/>
          <w:lang w:val="sr-Cyrl-CS" w:eastAsia="ar-SA"/>
        </w:rPr>
        <w:t>односно наруџбенице</w:t>
      </w:r>
      <w:r w:rsidRPr="009D0333">
        <w:rPr>
          <w:rFonts w:eastAsia="Arial" w:cs="YuHelvetica"/>
          <w:kern w:val="1"/>
          <w:lang w:val="sr-Cyrl-CS" w:eastAsia="ar-SA"/>
        </w:rPr>
        <w:t>.</w:t>
      </w:r>
      <w:r w:rsidRPr="009D0333">
        <w:rPr>
          <w:rFonts w:eastAsia="Times New Roman" w:cs="YuHelvetica"/>
          <w:kern w:val="1"/>
          <w:lang w:val="sr-Cyrl-CS" w:eastAsia="ar-SA"/>
        </w:rPr>
        <w:t xml:space="preserve"> </w:t>
      </w:r>
    </w:p>
    <w:p w14:paraId="0EAC97CD" w14:textId="77777777" w:rsidR="002D7FBC" w:rsidRDefault="002D7FBC" w:rsidP="002D7FBC">
      <w:pPr>
        <w:autoSpaceDE w:val="0"/>
        <w:jc w:val="both"/>
        <w:rPr>
          <w:rFonts w:eastAsia="Arial"/>
          <w:b/>
          <w:color w:val="000000"/>
          <w:lang w:val="sr-Cyrl-CS"/>
        </w:rPr>
      </w:pPr>
    </w:p>
    <w:p w14:paraId="0E484527" w14:textId="77777777" w:rsidR="002D7FBC" w:rsidRDefault="002D7FBC" w:rsidP="002D7FBC">
      <w:pPr>
        <w:widowControl/>
        <w:autoSpaceDE w:val="0"/>
        <w:jc w:val="both"/>
        <w:rPr>
          <w:rFonts w:eastAsia="Arial"/>
          <w:b/>
          <w:color w:val="000000"/>
          <w:lang w:val="sr-Cyrl-CS"/>
        </w:rPr>
      </w:pPr>
      <w:r w:rsidRPr="009D0333">
        <w:rPr>
          <w:rFonts w:eastAsia="Arial"/>
          <w:b/>
          <w:color w:val="000000"/>
          <w:kern w:val="1"/>
          <w:lang w:val="ru-RU" w:eastAsia="ar-SA"/>
        </w:rPr>
        <w:t>Рок важења</w:t>
      </w:r>
      <w:r>
        <w:rPr>
          <w:rFonts w:eastAsia="Arial"/>
          <w:color w:val="000000"/>
          <w:kern w:val="1"/>
          <w:lang w:val="ru-RU" w:eastAsia="ar-SA"/>
        </w:rPr>
        <w:t xml:space="preserve"> понуде не може бити краћи од </w:t>
      </w:r>
      <w:r>
        <w:rPr>
          <w:rFonts w:eastAsia="Arial"/>
          <w:color w:val="000000"/>
          <w:kern w:val="1"/>
          <w:lang w:eastAsia="ar-SA"/>
        </w:rPr>
        <w:t>3</w:t>
      </w:r>
      <w:r w:rsidRPr="009D0333">
        <w:rPr>
          <w:rFonts w:eastAsia="Arial"/>
          <w:color w:val="000000"/>
          <w:kern w:val="1"/>
          <w:lang w:val="ru-RU" w:eastAsia="ar-SA"/>
        </w:rPr>
        <w:t>0 дана од дана отварања понуда.</w:t>
      </w:r>
      <w:r>
        <w:rPr>
          <w:rFonts w:eastAsia="Arial"/>
          <w:color w:val="000000"/>
          <w:kern w:val="1"/>
          <w:lang w:val="ru-RU" w:eastAsia="ar-SA"/>
        </w:rPr>
        <w:t xml:space="preserve"> </w:t>
      </w:r>
      <w:r w:rsidRPr="009D0333">
        <w:rPr>
          <w:rFonts w:eastAsia="Arial"/>
          <w:color w:val="000000"/>
          <w:kern w:val="1"/>
          <w:lang w:val="ru-RU" w:eastAsia="ar-SA"/>
        </w:rPr>
        <w:t>У случају истека рока важења понуде, наручилац је дужан да у писаном облику затражи од понуђача продужење рока важења понуде.</w:t>
      </w:r>
      <w:r>
        <w:rPr>
          <w:rFonts w:eastAsia="Arial"/>
          <w:color w:val="000000"/>
          <w:kern w:val="1"/>
          <w:lang w:val="ru-RU" w:eastAsia="ar-SA"/>
        </w:rPr>
        <w:t xml:space="preserve"> </w:t>
      </w:r>
      <w:r w:rsidRPr="009D0333">
        <w:rPr>
          <w:rFonts w:eastAsia="Arial"/>
          <w:color w:val="000000"/>
          <w:kern w:val="1"/>
          <w:lang w:val="ru-RU" w:eastAsia="ar-SA"/>
        </w:rPr>
        <w:t>Понуђач који прихвати захтев за продужење рока важења понуде на може мењати понуду.</w:t>
      </w:r>
    </w:p>
    <w:p w14:paraId="0591AD0F" w14:textId="77777777" w:rsidR="002D7FBC" w:rsidRDefault="002D7FBC" w:rsidP="002D7FBC">
      <w:pPr>
        <w:autoSpaceDE w:val="0"/>
        <w:jc w:val="both"/>
        <w:rPr>
          <w:rFonts w:eastAsia="Arial"/>
          <w:b/>
          <w:color w:val="000000"/>
          <w:lang w:val="sr-Cyrl-CS"/>
        </w:rPr>
      </w:pPr>
    </w:p>
    <w:p w14:paraId="40A8BB4B" w14:textId="4107BDBA" w:rsidR="002D7FBC" w:rsidRPr="00E138E7" w:rsidRDefault="002D7FBC" w:rsidP="002D7FBC">
      <w:pPr>
        <w:autoSpaceDE w:val="0"/>
        <w:jc w:val="both"/>
        <w:rPr>
          <w:rFonts w:eastAsia="Arial"/>
          <w:color w:val="000000"/>
          <w:lang w:val="sr-Cyrl-RS"/>
        </w:rPr>
      </w:pPr>
      <w:r w:rsidRPr="00A32FDE">
        <w:rPr>
          <w:rFonts w:eastAsia="Arial"/>
          <w:b/>
          <w:color w:val="000000"/>
          <w:lang w:val="sr-Cyrl-CS"/>
        </w:rPr>
        <w:t>Место испоруке</w:t>
      </w:r>
      <w:r w:rsidRPr="00A32FDE">
        <w:rPr>
          <w:rFonts w:eastAsia="Arial"/>
          <w:color w:val="000000"/>
          <w:lang w:val="sr-Cyrl-CS"/>
        </w:rPr>
        <w:t xml:space="preserve"> - на адресу наручиоца:</w:t>
      </w:r>
      <w:r w:rsidR="00690601">
        <w:rPr>
          <w:rFonts w:eastAsia="Arial"/>
          <w:color w:val="000000"/>
          <w:lang w:val="sr-Cyrl-RS"/>
        </w:rPr>
        <w:t xml:space="preserve"> електрични казан -дистрибутивна</w:t>
      </w:r>
      <w:r>
        <w:rPr>
          <w:rFonts w:eastAsia="Arial"/>
          <w:color w:val="000000"/>
        </w:rPr>
        <w:t xml:space="preserve"> кухињ</w:t>
      </w:r>
      <w:r w:rsidR="00E138E7">
        <w:rPr>
          <w:rFonts w:eastAsia="Arial"/>
          <w:color w:val="000000"/>
          <w:lang w:val="sr-Cyrl-RS"/>
        </w:rPr>
        <w:t>а</w:t>
      </w:r>
      <w:r>
        <w:rPr>
          <w:rFonts w:eastAsia="Arial"/>
          <w:color w:val="000000"/>
        </w:rPr>
        <w:t xml:space="preserve"> вртића „Звончица“ Мрчајевци бб</w:t>
      </w:r>
      <w:r w:rsidRPr="00A32FDE">
        <w:rPr>
          <w:rFonts w:eastAsia="Arial"/>
          <w:color w:val="000000"/>
          <w:lang w:val="sr-Cyrl-CS"/>
        </w:rPr>
        <w:t xml:space="preserve"> </w:t>
      </w:r>
      <w:r w:rsidR="00E138E7">
        <w:rPr>
          <w:rFonts w:eastAsia="Arial"/>
          <w:color w:val="000000"/>
          <w:lang w:val="sr-Cyrl-RS"/>
        </w:rPr>
        <w:t>и</w:t>
      </w:r>
      <w:r w:rsidR="00690601">
        <w:rPr>
          <w:rFonts w:eastAsia="Arial"/>
          <w:color w:val="000000"/>
          <w:lang w:val="sr-Cyrl-RS"/>
        </w:rPr>
        <w:t xml:space="preserve"> машина за судове</w:t>
      </w:r>
      <w:r w:rsidR="00E138E7">
        <w:rPr>
          <w:rFonts w:eastAsia="Arial"/>
          <w:color w:val="000000"/>
          <w:lang w:val="sr-Cyrl-RS"/>
        </w:rPr>
        <w:t xml:space="preserve"> </w:t>
      </w:r>
      <w:r w:rsidR="00690601">
        <w:rPr>
          <w:rFonts w:eastAsia="Arial"/>
          <w:color w:val="000000"/>
          <w:lang w:val="sr-Cyrl-RS"/>
        </w:rPr>
        <w:t>-приручна кухиња у вртићу „Мали капетан“ ул.Немањина 60</w:t>
      </w:r>
    </w:p>
    <w:p w14:paraId="2425F17B" w14:textId="77777777" w:rsidR="002D7FBC" w:rsidRDefault="002D7FBC" w:rsidP="002D7FBC">
      <w:pPr>
        <w:jc w:val="both"/>
        <w:rPr>
          <w:b/>
          <w:iCs/>
          <w:lang w:val="sr-Cyrl-CS"/>
        </w:rPr>
      </w:pPr>
    </w:p>
    <w:p w14:paraId="5EADCF3A" w14:textId="77777777" w:rsidR="002D7FBC" w:rsidRDefault="002D7FBC" w:rsidP="002D7FBC">
      <w:pPr>
        <w:widowControl/>
        <w:jc w:val="both"/>
        <w:rPr>
          <w:rFonts w:eastAsia="Arial"/>
          <w:color w:val="000000"/>
          <w:kern w:val="1"/>
          <w:lang w:val="sr-Cyrl-CS" w:eastAsia="ar-SA"/>
        </w:rPr>
      </w:pPr>
      <w:r w:rsidRPr="002D43FC">
        <w:rPr>
          <w:rFonts w:eastAsia="Arial"/>
          <w:b/>
          <w:color w:val="000000"/>
          <w:kern w:val="1"/>
          <w:lang w:val="sr-Cyrl-CS" w:eastAsia="ar-SA"/>
        </w:rPr>
        <w:t>Гарантни рок</w:t>
      </w:r>
      <w:r>
        <w:rPr>
          <w:rFonts w:eastAsia="Arial"/>
          <w:b/>
          <w:color w:val="000000"/>
          <w:kern w:val="1"/>
          <w:lang w:val="sr-Cyrl-CS" w:eastAsia="ar-SA"/>
        </w:rPr>
        <w:t>:</w:t>
      </w:r>
      <w:r w:rsidRPr="009D0333">
        <w:rPr>
          <w:rFonts w:eastAsia="Arial"/>
          <w:color w:val="000000"/>
          <w:kern w:val="1"/>
          <w:lang w:val="sr-Cyrl-CS" w:eastAsia="ar-SA"/>
        </w:rPr>
        <w:t xml:space="preserve"> Минимални </w:t>
      </w:r>
      <w:r>
        <w:rPr>
          <w:rFonts w:eastAsia="Arial"/>
          <w:color w:val="000000"/>
          <w:kern w:val="1"/>
          <w:lang w:val="sr-Cyrl-CS" w:eastAsia="ar-SA"/>
        </w:rPr>
        <w:t xml:space="preserve">гарантни рок </w:t>
      </w:r>
      <w:r w:rsidRPr="009D0333">
        <w:rPr>
          <w:rFonts w:eastAsia="Arial"/>
          <w:color w:val="000000"/>
          <w:kern w:val="1"/>
          <w:lang w:val="sr-Cyrl-CS" w:eastAsia="ar-SA"/>
        </w:rPr>
        <w:t xml:space="preserve">за предметна добра је </w:t>
      </w:r>
      <w:r w:rsidRPr="009D0333">
        <w:rPr>
          <w:rFonts w:eastAsia="Arial"/>
          <w:b/>
          <w:color w:val="000000"/>
          <w:kern w:val="1"/>
          <w:lang w:val="sr-Cyrl-CS" w:eastAsia="ar-SA"/>
        </w:rPr>
        <w:t>24 месеца</w:t>
      </w:r>
      <w:r w:rsidRPr="009D0333">
        <w:rPr>
          <w:rFonts w:eastAsia="Arial"/>
          <w:color w:val="000000"/>
          <w:kern w:val="1"/>
          <w:lang w:val="sr-Cyrl-CS" w:eastAsia="ar-SA"/>
        </w:rPr>
        <w:t xml:space="preserve"> од тренутка </w:t>
      </w:r>
      <w:r>
        <w:rPr>
          <w:rFonts w:eastAsia="Arial"/>
          <w:color w:val="000000"/>
          <w:kern w:val="1"/>
          <w:lang w:val="sr-Cyrl-CS" w:eastAsia="ar-SA"/>
        </w:rPr>
        <w:t>монтаже и пуштања у рад.</w:t>
      </w:r>
    </w:p>
    <w:p w14:paraId="7DB619B6" w14:textId="77777777" w:rsidR="001C0A23" w:rsidRDefault="001C0A23" w:rsidP="002D7FBC">
      <w:pPr>
        <w:widowControl/>
        <w:jc w:val="both"/>
        <w:rPr>
          <w:rFonts w:eastAsia="Arial"/>
          <w:color w:val="000000"/>
          <w:kern w:val="1"/>
          <w:lang w:val="sr-Cyrl-CS" w:eastAsia="ar-SA"/>
        </w:rPr>
      </w:pPr>
    </w:p>
    <w:p w14:paraId="0E2192EF" w14:textId="4C3885E1" w:rsidR="001C0A23" w:rsidRPr="007B4881" w:rsidRDefault="001C0A23" w:rsidP="001C0A23">
      <w:pPr>
        <w:widowControl/>
        <w:suppressAutoHyphens w:val="0"/>
        <w:autoSpaceDE w:val="0"/>
        <w:autoSpaceDN w:val="0"/>
        <w:adjustRightInd w:val="0"/>
        <w:ind w:right="27"/>
        <w:jc w:val="both"/>
        <w:rPr>
          <w:rFonts w:eastAsia="Calibri"/>
          <w:lang w:val="sr-Latn-RS"/>
        </w:rPr>
      </w:pPr>
      <w:r w:rsidRPr="0011674D">
        <w:rPr>
          <w:rFonts w:eastAsia="Calibri"/>
        </w:rPr>
        <w:t>Привредни субјект је дужан да достави каталог/каталошку страну произвођача понуђен</w:t>
      </w:r>
      <w:r w:rsidRPr="0011674D">
        <w:rPr>
          <w:rFonts w:eastAsia="Calibri"/>
          <w:lang w:val="sr-Cyrl-RS"/>
        </w:rPr>
        <w:t>их</w:t>
      </w:r>
      <w:r w:rsidRPr="0011674D">
        <w:rPr>
          <w:rFonts w:eastAsia="Calibri"/>
        </w:rPr>
        <w:t xml:space="preserve"> доб</w:t>
      </w:r>
      <w:r w:rsidRPr="0011674D">
        <w:rPr>
          <w:rFonts w:eastAsia="Calibri"/>
          <w:lang w:val="sr-Cyrl-RS"/>
        </w:rPr>
        <w:t>ара</w:t>
      </w:r>
      <w:r w:rsidRPr="0011674D">
        <w:rPr>
          <w:rFonts w:eastAsia="Calibri"/>
        </w:rPr>
        <w:t xml:space="preserve">, са сликом  и означеним типом/моделом, из којих </w:t>
      </w:r>
      <w:r w:rsidRPr="0011674D">
        <w:rPr>
          <w:rFonts w:eastAsia="Calibri"/>
          <w:lang w:val="ru-RU"/>
        </w:rPr>
        <w:t>наручилац на несумњив начин може да  утврди да понуђен</w:t>
      </w:r>
      <w:r w:rsidRPr="0011674D">
        <w:rPr>
          <w:rFonts w:eastAsia="Calibri"/>
          <w:lang w:val="sr-Cyrl-RS"/>
        </w:rPr>
        <w:t>а</w:t>
      </w:r>
      <w:r w:rsidRPr="0011674D">
        <w:rPr>
          <w:rFonts w:eastAsia="Calibri"/>
          <w:lang w:val="ru-RU"/>
        </w:rPr>
        <w:t xml:space="preserve"> добр</w:t>
      </w:r>
      <w:r w:rsidRPr="0011674D">
        <w:rPr>
          <w:rFonts w:eastAsia="Calibri"/>
          <w:lang w:val="sr-Cyrl-RS"/>
        </w:rPr>
        <w:t>а</w:t>
      </w:r>
      <w:r w:rsidRPr="0011674D">
        <w:rPr>
          <w:rFonts w:eastAsia="Calibri"/>
          <w:lang w:val="ru-RU"/>
        </w:rPr>
        <w:t xml:space="preserve"> у свему одговара</w:t>
      </w:r>
      <w:r w:rsidRPr="0011674D">
        <w:rPr>
          <w:rFonts w:eastAsia="Calibri"/>
          <w:lang w:val="sr-Cyrl-RS"/>
        </w:rPr>
        <w:t>ју</w:t>
      </w:r>
      <w:r w:rsidRPr="0011674D">
        <w:rPr>
          <w:rFonts w:eastAsia="Calibri"/>
          <w:lang w:val="ru-RU"/>
        </w:rPr>
        <w:t xml:space="preserve"> задатим техничким карактеристикама, </w:t>
      </w:r>
      <w:r w:rsidRPr="0011674D">
        <w:rPr>
          <w:rFonts w:eastAsia="Calibri"/>
        </w:rPr>
        <w:t>потврду произвођача да понуђен</w:t>
      </w:r>
      <w:r w:rsidRPr="0011674D">
        <w:rPr>
          <w:rFonts w:eastAsia="Calibri"/>
          <w:lang w:val="sr-Cyrl-RS"/>
        </w:rPr>
        <w:t>а</w:t>
      </w:r>
      <w:r w:rsidRPr="0011674D">
        <w:rPr>
          <w:rFonts w:eastAsia="Calibri"/>
        </w:rPr>
        <w:t xml:space="preserve"> добр</w:t>
      </w:r>
      <w:r w:rsidRPr="0011674D">
        <w:rPr>
          <w:rFonts w:eastAsia="Calibri"/>
          <w:lang w:val="sr-Cyrl-RS"/>
        </w:rPr>
        <w:t>а</w:t>
      </w:r>
      <w:r w:rsidRPr="0011674D">
        <w:rPr>
          <w:rFonts w:eastAsia="Calibri"/>
        </w:rPr>
        <w:t>- поседуј</w:t>
      </w:r>
      <w:r w:rsidRPr="0011674D">
        <w:rPr>
          <w:rFonts w:eastAsia="Calibri"/>
          <w:lang w:val="sr-Cyrl-RS"/>
        </w:rPr>
        <w:t>у</w:t>
      </w:r>
      <w:r w:rsidRPr="0011674D">
        <w:rPr>
          <w:rFonts w:eastAsia="Calibri"/>
        </w:rPr>
        <w:t xml:space="preserve"> изјаву о усаглашености којом се потврђује да су њ</w:t>
      </w:r>
      <w:r w:rsidRPr="0011674D">
        <w:rPr>
          <w:rFonts w:eastAsia="Calibri"/>
          <w:lang w:val="sr-Cyrl-RS"/>
        </w:rPr>
        <w:t>ене</w:t>
      </w:r>
      <w:r w:rsidRPr="0011674D">
        <w:rPr>
          <w:rFonts w:eastAsia="Calibri"/>
        </w:rPr>
        <w:t xml:space="preserve"> особине у складу са захтевима европских директива и уредби или одговарајући</w:t>
      </w:r>
      <w:r w:rsidR="00CC015E" w:rsidRPr="0011674D">
        <w:rPr>
          <w:rFonts w:eastAsia="Calibri"/>
          <w:lang w:val="sr-Cyrl-RS"/>
        </w:rPr>
        <w:t xml:space="preserve">. </w:t>
      </w:r>
    </w:p>
    <w:p w14:paraId="390E8143" w14:textId="77777777" w:rsidR="001C0A23" w:rsidRPr="0011674D" w:rsidRDefault="001C0A23" w:rsidP="001C0A23">
      <w:pPr>
        <w:widowControl/>
        <w:suppressAutoHyphens w:val="0"/>
        <w:autoSpaceDE w:val="0"/>
        <w:autoSpaceDN w:val="0"/>
        <w:adjustRightInd w:val="0"/>
        <w:ind w:right="27"/>
        <w:jc w:val="both"/>
        <w:rPr>
          <w:rFonts w:eastAsia="Calibri"/>
          <w:lang w:val="ru-RU"/>
        </w:rPr>
      </w:pPr>
    </w:p>
    <w:p w14:paraId="7C81C825" w14:textId="77777777" w:rsidR="001C0A23" w:rsidRDefault="001C0A23" w:rsidP="001C0A23">
      <w:pPr>
        <w:jc w:val="both"/>
        <w:rPr>
          <w:rFonts w:eastAsia="Calibri"/>
          <w:lang w:val="ru-RU"/>
        </w:rPr>
      </w:pPr>
      <w:r w:rsidRPr="0011674D">
        <w:rPr>
          <w:rFonts w:eastAsia="Calibri"/>
          <w:lang w:val="ru-RU"/>
        </w:rPr>
        <w:t>Уколико је неки од докуменат</w:t>
      </w:r>
      <w:r w:rsidRPr="0011674D">
        <w:rPr>
          <w:rFonts w:eastAsia="Calibri"/>
        </w:rPr>
        <w:t>a</w:t>
      </w:r>
      <w:r w:rsidRPr="0011674D">
        <w:rPr>
          <w:rFonts w:eastAsia="Calibri"/>
          <w:lang w:val="ru-RU"/>
        </w:rPr>
        <w:t xml:space="preserve"> на страном језику уз исти треба доставити и превод на српски језик.</w:t>
      </w:r>
      <w:r w:rsidRPr="0011674D">
        <w:rPr>
          <w:rFonts w:eastAsia="Calibri"/>
        </w:rPr>
        <w:t xml:space="preserve"> </w:t>
      </w:r>
      <w:r w:rsidRPr="006E7152">
        <w:rPr>
          <w:rFonts w:eastAsia="Calibri"/>
          <w:lang w:val="ru-RU"/>
        </w:rPr>
        <w:t>Наручилац задржава право да се у фази стручне оцене понуда директно обрати произвођачу ради провере веродостојности достављеног документа.</w:t>
      </w:r>
    </w:p>
    <w:p w14:paraId="19E8275C" w14:textId="77777777" w:rsidR="001C0A23" w:rsidRDefault="001C0A23" w:rsidP="001C0A23">
      <w:pPr>
        <w:jc w:val="both"/>
        <w:rPr>
          <w:rFonts w:eastAsia="Calibri"/>
          <w:lang w:val="ru-RU"/>
        </w:rPr>
      </w:pPr>
    </w:p>
    <w:p w14:paraId="7A3AA7E5" w14:textId="77AE3B31" w:rsidR="001C0A23" w:rsidRDefault="001C0A23" w:rsidP="001C0A23">
      <w:pPr>
        <w:jc w:val="both"/>
        <w:rPr>
          <w:rFonts w:eastAsia="Calibri"/>
          <w:lang w:val="ru-RU"/>
        </w:rPr>
      </w:pPr>
      <w:r>
        <w:rPr>
          <w:rFonts w:eastAsia="Calibri"/>
          <w:lang w:val="ru-RU"/>
        </w:rPr>
        <w:t xml:space="preserve">Наручилац задржава право да у фази стручне оцене понуде, а пре доношења одлуке о додели уговора, у седишту </w:t>
      </w:r>
      <w:r w:rsidR="00A0004F">
        <w:rPr>
          <w:rFonts w:eastAsia="Calibri"/>
          <w:lang w:val="sr-Cyrl-RS"/>
        </w:rPr>
        <w:t>понуђача</w:t>
      </w:r>
      <w:r>
        <w:rPr>
          <w:rFonts w:eastAsia="Calibri"/>
          <w:lang w:val="ru-RU"/>
        </w:rPr>
        <w:t>, по потреби захтева од понуђача да изврши презентацију понуђених апарата ради увида у испуњеност тражених техничких карактеристика.</w:t>
      </w:r>
    </w:p>
    <w:p w14:paraId="3B2ED156" w14:textId="3747F43A" w:rsidR="001C0A23" w:rsidRPr="009D0333" w:rsidRDefault="001C0A23" w:rsidP="001C0A23">
      <w:pPr>
        <w:widowControl/>
        <w:jc w:val="both"/>
        <w:rPr>
          <w:rFonts w:eastAsia="Arial"/>
          <w:color w:val="000000"/>
          <w:kern w:val="1"/>
          <w:lang w:val="sr-Cyrl-CS" w:eastAsia="ar-SA"/>
        </w:rPr>
      </w:pPr>
      <w:r>
        <w:rPr>
          <w:rFonts w:eastAsia="Calibri"/>
          <w:lang w:val="ru-RU"/>
        </w:rPr>
        <w:t>Доказивање техничких карактеристика презентацијом позвани понуђачи морају извршити у року од максимално 5 дана од дана пријема писаног позива од стране наручиоца.</w:t>
      </w:r>
    </w:p>
    <w:p w14:paraId="0A549549" w14:textId="77777777" w:rsidR="00E93514" w:rsidRDefault="00E93514" w:rsidP="00E93514">
      <w:pPr>
        <w:shd w:val="clear" w:color="auto" w:fill="FFFFFF"/>
        <w:rPr>
          <w:rFonts w:eastAsia="Times New Roman" w:cstheme="minorHAnsi"/>
          <w:color w:val="000000"/>
          <w:lang w:val="ru-RU"/>
        </w:rPr>
      </w:pPr>
    </w:p>
    <w:p w14:paraId="76226A94" w14:textId="2E4F674D" w:rsidR="00E93514" w:rsidRPr="003554AE" w:rsidRDefault="00E93514" w:rsidP="00E93514">
      <w:pPr>
        <w:shd w:val="clear" w:color="auto" w:fill="FFFFFF"/>
        <w:rPr>
          <w:rFonts w:eastAsia="Times New Roman" w:cstheme="minorHAnsi"/>
          <w:color w:val="000000"/>
        </w:rPr>
      </w:pPr>
      <w:r w:rsidRPr="00E93514">
        <w:rPr>
          <w:rFonts w:eastAsia="Times New Roman" w:cstheme="minorHAnsi"/>
          <w:b/>
          <w:bCs/>
          <w:color w:val="000000"/>
          <w:lang w:val="ru-RU"/>
        </w:rPr>
        <w:t>Кадровск</w:t>
      </w:r>
      <w:r>
        <w:rPr>
          <w:rFonts w:eastAsia="Times New Roman" w:cstheme="minorHAnsi"/>
          <w:b/>
          <w:bCs/>
          <w:color w:val="000000"/>
          <w:lang w:val="sr-Cyrl-RS"/>
        </w:rPr>
        <w:t>и</w:t>
      </w:r>
      <w:r w:rsidRPr="00E93514">
        <w:rPr>
          <w:rFonts w:eastAsia="Times New Roman" w:cstheme="minorHAnsi"/>
          <w:b/>
          <w:bCs/>
          <w:color w:val="000000"/>
          <w:lang w:val="ru-RU"/>
        </w:rPr>
        <w:t xml:space="preserve"> капацитет</w:t>
      </w:r>
      <w:r w:rsidRPr="003554AE">
        <w:rPr>
          <w:rFonts w:eastAsia="Times New Roman" w:cstheme="minorHAnsi"/>
          <w:color w:val="000000"/>
          <w:lang w:val="ru-RU"/>
        </w:rPr>
        <w:t xml:space="preserve">- Да понуђач има ангажована минимум </w:t>
      </w:r>
      <w:r w:rsidR="00A0004F">
        <w:rPr>
          <w:rFonts w:eastAsia="Times New Roman" w:cstheme="minorHAnsi"/>
          <w:color w:val="000000"/>
          <w:lang w:val="sr-Latn-RS"/>
        </w:rPr>
        <w:t>2</w:t>
      </w:r>
      <w:r w:rsidRPr="003554AE">
        <w:rPr>
          <w:rFonts w:eastAsia="Times New Roman" w:cstheme="minorHAnsi"/>
          <w:color w:val="000000"/>
          <w:lang w:val="ru-RU"/>
        </w:rPr>
        <w:t xml:space="preserve"> (</w:t>
      </w:r>
      <w:r w:rsidR="00A0004F">
        <w:rPr>
          <w:rFonts w:eastAsia="Times New Roman" w:cstheme="minorHAnsi"/>
          <w:color w:val="000000"/>
          <w:lang w:val="sr-Cyrl-RS"/>
        </w:rPr>
        <w:t>два</w:t>
      </w:r>
      <w:r w:rsidRPr="003554AE">
        <w:rPr>
          <w:rFonts w:eastAsia="Times New Roman" w:cstheme="minorHAnsi"/>
          <w:color w:val="000000"/>
          <w:lang w:val="ru-RU"/>
        </w:rPr>
        <w:t>) сервисера са сертификатом издатим од стране произвођач</w:t>
      </w:r>
      <w:r w:rsidR="00722E22">
        <w:rPr>
          <w:rFonts w:eastAsia="Times New Roman" w:cstheme="minorHAnsi"/>
          <w:color w:val="000000"/>
          <w:lang w:val="sr-Cyrl-RS"/>
        </w:rPr>
        <w:t>а понуђених добара</w:t>
      </w:r>
      <w:r w:rsidRPr="003554AE">
        <w:rPr>
          <w:rFonts w:eastAsia="Times New Roman" w:cstheme="minorHAnsi"/>
          <w:color w:val="000000"/>
          <w:lang w:val="ru-RU"/>
        </w:rPr>
        <w:t xml:space="preserve">, која </w:t>
      </w:r>
      <w:r w:rsidR="00722E22">
        <w:rPr>
          <w:rFonts w:eastAsia="Times New Roman" w:cstheme="minorHAnsi"/>
          <w:color w:val="000000"/>
          <w:lang w:val="sr-Cyrl-RS"/>
        </w:rPr>
        <w:t>су</w:t>
      </w:r>
      <w:r w:rsidRPr="003554AE">
        <w:rPr>
          <w:rFonts w:eastAsia="Times New Roman" w:cstheme="minorHAnsi"/>
          <w:color w:val="000000"/>
          <w:lang w:val="ru-RU"/>
        </w:rPr>
        <w:t xml:space="preserve"> предмет понуде, ангажована по било ком основу у складу са Законом о раду.</w:t>
      </w:r>
    </w:p>
    <w:p w14:paraId="68251153" w14:textId="373ACC0A" w:rsidR="001C0A23" w:rsidRPr="000D090E" w:rsidRDefault="00E93514" w:rsidP="001C0A23">
      <w:pPr>
        <w:jc w:val="both"/>
        <w:rPr>
          <w:b/>
          <w:iCs/>
        </w:rPr>
      </w:pPr>
      <w:r w:rsidRPr="003554AE">
        <w:rPr>
          <w:rFonts w:eastAsia="Times New Roman" w:cstheme="minorHAnsi"/>
          <w:color w:val="000000"/>
          <w:lang w:val="ru-RU"/>
        </w:rPr>
        <w:t>Докази: -За запослене (одређено /неодређено време) - Образац М3-А (трећа страна обрасца М1) односно образац М јединствени, за ангажоване по другом основу: доказ о правном основу ангажовања (уговор о делу, уговор о привременим и повременим пословима и сл. у складу са Законом о раду). -Копија оригиналног сертфиката за сервисере издатог од стране произвођача</w:t>
      </w:r>
      <w:r w:rsidR="00722E22">
        <w:rPr>
          <w:rFonts w:eastAsia="Times New Roman" w:cstheme="minorHAnsi"/>
          <w:color w:val="000000"/>
          <w:lang w:val="sr-Cyrl-RS"/>
        </w:rPr>
        <w:t>понуђених добара</w:t>
      </w:r>
      <w:r w:rsidRPr="003554AE">
        <w:rPr>
          <w:rFonts w:eastAsia="Times New Roman" w:cstheme="minorHAnsi"/>
          <w:color w:val="000000"/>
          <w:lang w:val="ru-RU"/>
        </w:rPr>
        <w:t>. У случају да понуђач подноси понуду са подизвођачем, ове доказе доставити и за подизвођача.( Ако има више подизвођача доказе доставоти за сваког од њих) Уколико понуду подноси група понуђача доказ може да достави само једна од чланица групе понуђача или свака од чланица групе понуђача или све чланица из групе понуђача ( овај услов испуњавају заједно)</w:t>
      </w:r>
      <w:r w:rsidR="001C0A23" w:rsidRPr="001C0A23">
        <w:t xml:space="preserve"> </w:t>
      </w:r>
      <w:r w:rsidR="001C0A23">
        <w:t xml:space="preserve">Могућност одазива на позив за сервисну интервенцију по пријави квара у року од 120 минута. </w:t>
      </w:r>
    </w:p>
    <w:p w14:paraId="215F9E49" w14:textId="71168F6A" w:rsidR="00E93514" w:rsidRPr="003554AE" w:rsidRDefault="00E93514" w:rsidP="00E93514">
      <w:pPr>
        <w:shd w:val="clear" w:color="auto" w:fill="FFFFFF"/>
        <w:rPr>
          <w:rFonts w:eastAsia="Times New Roman" w:cstheme="minorHAnsi"/>
          <w:color w:val="000000"/>
        </w:rPr>
      </w:pPr>
    </w:p>
    <w:p w14:paraId="014B4508" w14:textId="77777777" w:rsidR="00E93514" w:rsidRPr="003554AE" w:rsidRDefault="00E93514" w:rsidP="00E93514">
      <w:pPr>
        <w:rPr>
          <w:rFonts w:cstheme="minorHAnsi"/>
          <w:lang w:val="ru-RU"/>
        </w:rPr>
      </w:pPr>
    </w:p>
    <w:p w14:paraId="3FA3FAD4" w14:textId="77777777" w:rsidR="00E93514" w:rsidRPr="003554AE" w:rsidRDefault="00E93514" w:rsidP="00E93514">
      <w:pPr>
        <w:rPr>
          <w:rFonts w:cstheme="minorHAnsi"/>
          <w:lang w:val="ru-RU"/>
        </w:rPr>
      </w:pPr>
    </w:p>
    <w:p w14:paraId="29C50AD4" w14:textId="77777777" w:rsidR="006B7A4A" w:rsidRDefault="006B7A4A"/>
    <w:sectPr w:rsidR="006B7A4A" w:rsidSect="00FF5196">
      <w:pgSz w:w="12240" w:h="15840"/>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YuHelvetica">
    <w:altName w:val="Times New Roman"/>
    <w:charset w:val="00"/>
    <w:family w:val="auto"/>
    <w:pitch w:val="variable"/>
    <w:sig w:usb0="00000003" w:usb1="00000000" w:usb2="00000000" w:usb3="00000000" w:csb0="00000001" w:csb1="00000000"/>
  </w:font>
  <w:font w:name="KovCenik">
    <w:altName w:val="Cambria"/>
    <w:panose1 w:val="00000000000000000000"/>
    <w:charset w:val="00"/>
    <w:family w:val="roman"/>
    <w:notTrueType/>
    <w:pitch w:val="default"/>
  </w:font>
  <w:font w:name="TimesNewRomanPS-BoldMT">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1E4483"/>
    <w:multiLevelType w:val="hybridMultilevel"/>
    <w:tmpl w:val="0BF8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50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BC"/>
    <w:rsid w:val="0011674D"/>
    <w:rsid w:val="001C0A23"/>
    <w:rsid w:val="00211666"/>
    <w:rsid w:val="00222648"/>
    <w:rsid w:val="00245F6B"/>
    <w:rsid w:val="002D7FBC"/>
    <w:rsid w:val="004F3944"/>
    <w:rsid w:val="005E451C"/>
    <w:rsid w:val="005E6968"/>
    <w:rsid w:val="00650C7C"/>
    <w:rsid w:val="00690601"/>
    <w:rsid w:val="006956AF"/>
    <w:rsid w:val="006B7A4A"/>
    <w:rsid w:val="00722E22"/>
    <w:rsid w:val="007B4881"/>
    <w:rsid w:val="00A0004F"/>
    <w:rsid w:val="00A10E17"/>
    <w:rsid w:val="00A96650"/>
    <w:rsid w:val="00B1213C"/>
    <w:rsid w:val="00B44EEE"/>
    <w:rsid w:val="00C25F67"/>
    <w:rsid w:val="00CC015E"/>
    <w:rsid w:val="00CC3A6E"/>
    <w:rsid w:val="00D1236F"/>
    <w:rsid w:val="00E138E7"/>
    <w:rsid w:val="00E80A51"/>
    <w:rsid w:val="00E93514"/>
    <w:rsid w:val="00EC1EE6"/>
    <w:rsid w:val="00F81A33"/>
    <w:rsid w:val="00FB0070"/>
    <w:rsid w:val="00FC43EE"/>
    <w:rsid w:val="00FF51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2C90"/>
  <w15:chartTrackingRefBased/>
  <w15:docId w15:val="{1927C60E-6C87-46D4-968B-04592956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FBC"/>
    <w:pPr>
      <w:widowControl w:val="0"/>
      <w:suppressAutoHyphens/>
      <w:spacing w:after="0" w:line="240" w:lineRule="auto"/>
    </w:pPr>
    <w:rPr>
      <w:rFonts w:ascii="Times New Roman" w:eastAsia="Lucida Sans Unicode"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BC"/>
    <w:pPr>
      <w:widowControl/>
      <w:spacing w:line="100" w:lineRule="atLeast"/>
      <w:ind w:left="720"/>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2024-02-08T11:17:00Z</cp:lastPrinted>
  <dcterms:created xsi:type="dcterms:W3CDTF">2024-04-23T06:30:00Z</dcterms:created>
  <dcterms:modified xsi:type="dcterms:W3CDTF">2024-04-23T06:30:00Z</dcterms:modified>
</cp:coreProperties>
</file>